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Pr="00E16334" w:rsidRDefault="00270546">
      <w:pPr>
        <w:pStyle w:val="Heading1"/>
        <w:spacing w:after="20" w:afterAutospacing="0"/>
        <w:divId w:val="1347438940"/>
        <w:rPr>
          <w:rFonts w:ascii="Calibri" w:eastAsia="Times New Roman" w:hAnsi="Calibri" w:cs="Calibri"/>
          <w:caps/>
          <w:color w:val="000000"/>
          <w:sz w:val="30"/>
          <w:szCs w:val="30"/>
          <w:lang w:val="en-GB"/>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3C2390">
            <w:pPr>
              <w:pStyle w:val="Heading1"/>
              <w:spacing w:after="20" w:afterAutospacing="0"/>
              <w:rPr>
                <w:rFonts w:ascii="Calibri" w:eastAsia="Times New Roman" w:hAnsi="Calibri" w:cs="Calibri"/>
                <w:caps/>
                <w:sz w:val="30"/>
                <w:szCs w:val="30"/>
                <w:lang w:val="en-GB"/>
              </w:rPr>
            </w:pPr>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177E6E57" w:rsidR="00270546" w:rsidRPr="00E16334" w:rsidRDefault="00342122" w:rsidP="0078785D">
            <w:pPr>
              <w:pStyle w:val="NormalWeb"/>
              <w:spacing w:before="0" w:beforeAutospacing="0" w:after="0" w:afterAutospacing="0"/>
              <w:rPr>
                <w:rFonts w:ascii="Calibri" w:hAnsi="Calibri" w:cs="Calibri"/>
                <w:b/>
                <w:bCs/>
                <w:color w:val="FFFFFF"/>
                <w:sz w:val="28"/>
                <w:szCs w:val="28"/>
                <w:lang w:val="en-GB"/>
              </w:rPr>
            </w:pPr>
            <w:r w:rsidRPr="00E16334">
              <w:rPr>
                <w:rFonts w:ascii="Calibri" w:hAnsi="Calibri" w:cs="Calibri"/>
                <w:b/>
                <w:bCs/>
                <w:color w:val="FFFFFF"/>
                <w:sz w:val="28"/>
                <w:szCs w:val="28"/>
                <w:lang w:val="en-GB"/>
              </w:rPr>
              <w:t>Neuron Specific Enolase</w:t>
            </w:r>
            <w:r w:rsidR="0065473D">
              <w:rPr>
                <w:rFonts w:ascii="Calibri" w:hAnsi="Calibri" w:cs="Calibri"/>
                <w:b/>
                <w:bCs/>
                <w:color w:val="FFFFFF"/>
                <w:sz w:val="28"/>
                <w:szCs w:val="28"/>
                <w:lang w:val="en-GB"/>
              </w:rPr>
              <w:t xml:space="preserve"> (NSE)</w:t>
            </w:r>
            <w:r w:rsidR="0078785D" w:rsidRPr="00E16334">
              <w:rPr>
                <w:rFonts w:ascii="Calibri" w:hAnsi="Calibri" w:cs="Calibri"/>
                <w:b/>
                <w:bCs/>
                <w:color w:val="FFFFFF"/>
                <w:sz w:val="28"/>
                <w:szCs w:val="28"/>
                <w:lang w:val="en-GB"/>
              </w:rPr>
              <w:t xml:space="preserve"> for prediction of poor neurological outcome </w:t>
            </w:r>
            <w:r w:rsidR="00270546" w:rsidRPr="00E16334">
              <w:rPr>
                <w:rFonts w:ascii="Calibri" w:hAnsi="Calibri" w:cs="Calibri"/>
                <w:b/>
                <w:bCs/>
                <w:color w:val="FFFFFF"/>
                <w:sz w:val="28"/>
                <w:szCs w:val="28"/>
                <w:lang w:val="en-GB"/>
              </w:rPr>
              <w:t>in adults with cardiac arrest</w:t>
            </w:r>
          </w:p>
          <w:p w14:paraId="135FC8E2" w14:textId="32AFA6CE" w:rsidR="0078785D" w:rsidRPr="00E16334" w:rsidRDefault="00CC5B95" w:rsidP="00CC5B95">
            <w:pPr>
              <w:pStyle w:val="NormalWeb"/>
              <w:spacing w:before="0" w:beforeAutospacing="0" w:after="0" w:afterAutospacing="0"/>
              <w:rPr>
                <w:rFonts w:ascii="Calibri" w:hAnsi="Calibri" w:cs="Calibri"/>
                <w:b/>
                <w:bCs/>
                <w:color w:val="FFFFFF"/>
                <w:sz w:val="28"/>
                <w:szCs w:val="28"/>
                <w:lang w:val="en-GB"/>
              </w:rPr>
            </w:pPr>
            <w:r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Pr="00E16334">
              <w:rPr>
                <w:rFonts w:ascii="Calibri" w:hAnsi="Calibri" w:cs="Calibri"/>
                <w:b/>
                <w:bCs/>
                <w:color w:val="FFFFFF"/>
                <w:sz w:val="28"/>
                <w:szCs w:val="28"/>
                <w:lang w:val="en-GB"/>
              </w:rPr>
              <w:t>Prognostication ETD)</w:t>
            </w:r>
          </w:p>
        </w:tc>
      </w:tr>
      <w:tr w:rsidR="00270546" w:rsidRPr="00E16334"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3C2390">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25EE06B8"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3333FA">
              <w:rPr>
                <w:sz w:val="20"/>
                <w:szCs w:val="20"/>
                <w:lang w:val="en-GB"/>
              </w:rPr>
              <w:t>.</w:t>
            </w:r>
          </w:p>
        </w:tc>
      </w:tr>
      <w:tr w:rsidR="00270546" w:rsidRPr="00E16334"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3C2390">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0F7AE1B8" w:rsidR="00270546" w:rsidRPr="00E16334" w:rsidRDefault="00342122" w:rsidP="003C2390">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Neuron specific enolase</w:t>
            </w:r>
            <w:r w:rsidR="00A04921">
              <w:rPr>
                <w:rFonts w:ascii="Calibri" w:hAnsi="Calibri" w:cs="Calibri"/>
                <w:sz w:val="20"/>
                <w:szCs w:val="20"/>
                <w:lang w:val="en-GB"/>
              </w:rPr>
              <w:t xml:space="preserve"> (NSE)</w:t>
            </w:r>
            <w:r w:rsidR="00F16DBB" w:rsidRPr="00E16334">
              <w:rPr>
                <w:rFonts w:ascii="Calibri" w:hAnsi="Calibri" w:cs="Calibri"/>
                <w:sz w:val="20"/>
                <w:szCs w:val="20"/>
                <w:lang w:val="en-GB"/>
              </w:rPr>
              <w:t>, assessed within one week after cardiac arrest.</w:t>
            </w:r>
          </w:p>
        </w:tc>
      </w:tr>
      <w:tr w:rsidR="00270546" w:rsidRPr="00E16334"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3C2390">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272FF1FA" w:rsidR="00270546" w:rsidRPr="00E16334" w:rsidRDefault="00A04921" w:rsidP="003C2390">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3333FA">
              <w:rPr>
                <w:rFonts w:ascii="Calibri" w:hAnsi="Calibri" w:cs="Calibri"/>
                <w:i/>
                <w:sz w:val="20"/>
                <w:szCs w:val="20"/>
                <w:lang w:val="en-GB"/>
              </w:rPr>
              <w:t>.</w:t>
            </w:r>
          </w:p>
        </w:tc>
      </w:tr>
      <w:tr w:rsidR="00270546" w:rsidRPr="00E16334"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3C2390">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3846ACE1" w:rsidR="00270546" w:rsidRPr="00E16334" w:rsidRDefault="00CC5B95"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poor neurological outcome defined as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sidR="00A04921">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ategories</w:t>
            </w:r>
            <w:r w:rsidR="00A04921">
              <w:rPr>
                <w:rFonts w:ascii="Calibri" w:eastAsia="Times New Roman" w:hAnsi="Calibri" w:cs="Calibri"/>
                <w:sz w:val="20"/>
                <w:szCs w:val="20"/>
                <w:lang w:val="en-GB"/>
              </w:rPr>
              <w:t xml:space="preserve"> (CPC)</w:t>
            </w:r>
            <w:r w:rsidRPr="00E16334">
              <w:rPr>
                <w:rFonts w:ascii="Calibri" w:eastAsia="Times New Roman" w:hAnsi="Calibri" w:cs="Calibri"/>
                <w:sz w:val="20"/>
                <w:szCs w:val="20"/>
                <w:lang w:val="en-GB"/>
              </w:rPr>
              <w:t xml:space="preserve"> 3-5 or modified Rankin Score (mRS)</w:t>
            </w:r>
            <w:r w:rsidR="00A04921">
              <w:rPr>
                <w:rFonts w:ascii="Calibri" w:eastAsia="Times New Roman" w:hAnsi="Calibri" w:cs="Calibri"/>
                <w:sz w:val="20"/>
                <w:szCs w:val="20"/>
                <w:lang w:val="en-GB"/>
              </w:rPr>
              <w:t xml:space="preserve"> </w:t>
            </w:r>
            <w:r w:rsidRPr="00E16334">
              <w:rPr>
                <w:rFonts w:ascii="Calibri" w:eastAsia="Times New Roman" w:hAnsi="Calibri" w:cs="Calibri"/>
                <w:sz w:val="20"/>
                <w:szCs w:val="20"/>
                <w:lang w:val="en-GB"/>
              </w:rPr>
              <w:t>4-6 at hospital discharge/1 month or later</w:t>
            </w:r>
            <w:r w:rsidR="00A04921">
              <w:rPr>
                <w:rFonts w:ascii="Calibri" w:eastAsia="Times New Roman" w:hAnsi="Calibri" w:cs="Calibri"/>
                <w:sz w:val="20"/>
                <w:szCs w:val="20"/>
                <w:lang w:val="en-GB"/>
              </w:rPr>
              <w:t>.</w:t>
            </w:r>
          </w:p>
        </w:tc>
      </w:tr>
      <w:tr w:rsidR="00270546" w:rsidRPr="00E16334"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3C2390">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0A62FE25" w:rsidR="00270546" w:rsidRPr="00E16334" w:rsidRDefault="00CC5B95" w:rsidP="003C2390">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Prognostic accuracy studies where the 2 x 2 contingency table (i.e., the number of true/false negatives and positives for prediction of poor outcome) was reported, or where those variables could be calculated from reported data</w:t>
            </w:r>
            <w:r w:rsidR="00A04921">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w:t>
            </w:r>
            <w:r w:rsidR="00DB660C" w:rsidRPr="00E16334">
              <w:rPr>
                <w:rFonts w:ascii="Calibri" w:hAnsi="Calibri" w:cs="Calibri"/>
                <w:sz w:val="20"/>
                <w:szCs w:val="20"/>
                <w:lang w:val="en-GB"/>
              </w:rPr>
              <w:t>er</w:t>
            </w:r>
            <w:r w:rsidRPr="00E16334">
              <w:rPr>
                <w:rFonts w:ascii="Calibri" w:hAnsi="Calibri" w:cs="Calibri"/>
                <w:sz w:val="20"/>
                <w:szCs w:val="20"/>
                <w:lang w:val="en-GB"/>
              </w:rPr>
              <w:t xml:space="preserve">e excluded.  </w:t>
            </w:r>
          </w:p>
        </w:tc>
      </w:tr>
      <w:tr w:rsidR="00CC5B95" w:rsidRPr="00E16334"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3C2390">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E16334" w:rsidRDefault="00CD19C5" w:rsidP="003C2390">
            <w:pPr>
              <w:pStyle w:val="NormalWeb"/>
              <w:spacing w:before="0" w:beforeAutospacing="0" w:after="0" w:afterAutospacing="0" w:line="200" w:lineRule="atLeast"/>
              <w:rPr>
                <w:rFonts w:ascii="Calibri" w:eastAsia="Times New Roman" w:hAnsi="Calibri" w:cs="Calibri"/>
                <w:sz w:val="20"/>
                <w:szCs w:val="16"/>
                <w:lang w:val="en-GB"/>
              </w:rPr>
            </w:pPr>
            <w:r w:rsidRPr="00E16334">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E16334" w:rsidRDefault="00CC5B95" w:rsidP="003C2390">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the previous systematic reviews on neuroprognostication was launched on May 31, 2013. We search</w:t>
            </w:r>
            <w:r w:rsidR="00DE5B24" w:rsidRPr="00E16334">
              <w:rPr>
                <w:rFonts w:asciiTheme="minorHAnsi" w:hAnsiTheme="minorHAnsi" w:cstheme="minorHAnsi"/>
                <w:sz w:val="20"/>
                <w:lang w:val="en-GB"/>
              </w:rPr>
              <w:t>ed</w:t>
            </w:r>
            <w:r w:rsidRPr="00E16334">
              <w:rPr>
                <w:rFonts w:asciiTheme="minorHAnsi" w:hAnsiTheme="minorHAnsi" w:cstheme="minorHAnsi"/>
                <w:sz w:val="20"/>
                <w:lang w:val="en-GB"/>
              </w:rPr>
              <w:t xml:space="preserve"> studies published from January 1, 2013 onwards.</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E16334"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12BC9315" w:rsidR="000526C3" w:rsidRPr="00E16334" w:rsidRDefault="00045AFF">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E16334" w:rsidRDefault="003D1891" w:rsidP="00F16DBB">
            <w:pPr>
              <w:divId w:val="1440222988"/>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Cardiac arrest </w:t>
            </w:r>
            <w:r w:rsidR="00045AFF" w:rsidRPr="00E16334">
              <w:rPr>
                <w:rFonts w:ascii="Calibri" w:eastAsia="Times New Roman" w:hAnsi="Calibri" w:cs="Calibri"/>
                <w:sz w:val="20"/>
                <w:szCs w:val="16"/>
                <w:lang w:val="en-GB"/>
              </w:rPr>
              <w:t>is common and has a very high mortality</w:t>
            </w:r>
            <w:r w:rsidR="00F16DBB" w:rsidRPr="00E16334">
              <w:rPr>
                <w:rFonts w:ascii="Calibri" w:eastAsia="Times New Roman" w:hAnsi="Calibri" w:cs="Calibri"/>
                <w:sz w:val="20"/>
                <w:szCs w:val="16"/>
                <w:lang w:val="en-GB"/>
              </w:rPr>
              <w:t>, with neurologic injury as the most</w:t>
            </w:r>
            <w:r w:rsidR="00EB4059" w:rsidRPr="00E16334">
              <w:rPr>
                <w:rFonts w:ascii="Calibri" w:eastAsia="Times New Roman" w:hAnsi="Calibri" w:cs="Calibri"/>
                <w:sz w:val="20"/>
                <w:szCs w:val="16"/>
                <w:lang w:val="en-GB"/>
              </w:rPr>
              <w:t xml:space="preserve"> common cause of death</w:t>
            </w:r>
            <w:r w:rsidR="00045AFF" w:rsidRPr="00E16334">
              <w:rPr>
                <w:rFonts w:ascii="Calibri" w:eastAsia="Times New Roman" w:hAnsi="Calibri" w:cs="Calibri"/>
                <w:sz w:val="20"/>
                <w:szCs w:val="16"/>
                <w:lang w:val="en-GB"/>
              </w:rPr>
              <w:t>.</w:t>
            </w:r>
            <w:r w:rsidR="00270546" w:rsidRPr="00E16334">
              <w:rPr>
                <w:rFonts w:ascii="Calibri" w:eastAsia="Times New Roman" w:hAnsi="Calibri" w:cs="Calibri"/>
                <w:sz w:val="20"/>
                <w:szCs w:val="16"/>
                <w:lang w:val="en-GB"/>
              </w:rPr>
              <w:t xml:space="preserve"> </w:t>
            </w:r>
            <w:r w:rsidR="00F16DBB" w:rsidRPr="00E16334">
              <w:rPr>
                <w:rFonts w:ascii="Calibri" w:eastAsia="Times New Roman" w:hAnsi="Calibri" w:cs="Calibri"/>
                <w:sz w:val="20"/>
                <w:szCs w:val="16"/>
                <w:lang w:val="en-GB"/>
              </w:rPr>
              <w:t>The vast majority of these deaths occur as a result of withdrawal of life-sustaining treatment (WLST) based on prediction</w:t>
            </w:r>
            <w:r w:rsidR="00D22C4F" w:rsidRPr="00E16334">
              <w:rPr>
                <w:rFonts w:ascii="Calibri" w:eastAsia="Times New Roman" w:hAnsi="Calibri" w:cs="Calibri"/>
                <w:sz w:val="20"/>
                <w:szCs w:val="16"/>
                <w:lang w:val="en-GB"/>
              </w:rPr>
              <w:t xml:space="preserve"> of poor neurological outcome.</w:t>
            </w:r>
            <w:r w:rsidR="00F16DBB" w:rsidRPr="00E16334">
              <w:rPr>
                <w:rFonts w:ascii="Calibri" w:eastAsia="Times New Roman" w:hAnsi="Calibri" w:cs="Calibri"/>
                <w:sz w:val="20"/>
                <w:szCs w:val="16"/>
                <w:lang w:val="en-GB"/>
              </w:rPr>
              <w:t xml:space="preserve">  </w:t>
            </w:r>
            <w:r w:rsidR="00D22C4F" w:rsidRPr="00E16334">
              <w:rPr>
                <w:rFonts w:ascii="Calibri" w:eastAsia="Times New Roman" w:hAnsi="Calibri" w:cs="Calibri"/>
                <w:sz w:val="20"/>
                <w:szCs w:val="16"/>
                <w:lang w:val="en-GB"/>
              </w:rPr>
              <w:t xml:space="preserve">Prognostication </w:t>
            </w:r>
            <w:r w:rsidR="00F40AC1" w:rsidRPr="00E16334">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E16334" w:rsidRDefault="000526C3" w:rsidP="00F16DBB">
            <w:pPr>
              <w:divId w:val="749501731"/>
              <w:rPr>
                <w:rFonts w:ascii="Calibri" w:eastAsia="Times New Roman" w:hAnsi="Calibri" w:cs="Calibri"/>
                <w:sz w:val="20"/>
                <w:szCs w:val="16"/>
                <w:lang w:val="en-GB"/>
              </w:rPr>
            </w:pPr>
          </w:p>
        </w:tc>
      </w:tr>
      <w:tr w:rsidR="000526C3" w:rsidRPr="00E16334"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E16334"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Desirable Effects</w:t>
            </w:r>
          </w:p>
          <w:p w14:paraId="63BE05F0" w14:textId="77777777" w:rsidR="000526C3" w:rsidRPr="00E16334" w:rsidRDefault="00045AFF">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desirable anticipated effects?</w:t>
            </w:r>
          </w:p>
        </w:tc>
      </w:tr>
      <w:tr w:rsidR="000526C3" w:rsidRPr="00E16334"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 xml:space="preserve">Additional </w:t>
            </w:r>
            <w:r w:rsidRPr="00E16334">
              <w:rPr>
                <w:rFonts w:ascii="Calibri" w:eastAsia="Times New Roman" w:hAnsi="Calibri" w:cs="Calibri"/>
                <w:caps/>
                <w:sz w:val="20"/>
                <w:szCs w:val="16"/>
                <w:lang w:val="en-GB"/>
              </w:rPr>
              <w:lastRenderedPageBreak/>
              <w:t>considerations</w:t>
            </w:r>
          </w:p>
        </w:tc>
      </w:tr>
      <w:tr w:rsidR="000526C3" w:rsidRPr="00E16334"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917A0" w14:textId="1E1E7D81" w:rsidR="00D22C4F" w:rsidRPr="00E16334" w:rsidRDefault="00270546" w:rsidP="00D22C4F">
            <w:pPr>
              <w:divId w:val="814834836"/>
              <w:rPr>
                <w:rStyle w:val="ep-radiobuttonlabel"/>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Trivial</w:t>
            </w:r>
            <w:r w:rsidR="00045AFF" w:rsidRPr="00E16334">
              <w:rPr>
                <w:rFonts w:ascii="Calibri" w:eastAsia="Times New Roman" w:hAnsi="Calibri" w:cs="Calibri"/>
                <w:sz w:val="20"/>
                <w:szCs w:val="16"/>
                <w:lang w:val="en-GB"/>
              </w:rPr>
              <w:br/>
            </w:r>
            <w:r w:rsidR="00D22C4F" w:rsidRPr="00E16334">
              <w:rPr>
                <w:rStyle w:val="checked-marker"/>
                <w:rFonts w:ascii="Calibri" w:eastAsia="Times New Roman" w:hAnsi="Calibri" w:cs="Calibri"/>
                <w:sz w:val="20"/>
                <w:szCs w:val="16"/>
                <w:lang w:val="en-GB"/>
              </w:rPr>
              <w:t>●</w:t>
            </w:r>
            <w:r w:rsidR="00597673"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Small</w:t>
            </w:r>
          </w:p>
          <w:p w14:paraId="3F34DE31" w14:textId="67634499" w:rsidR="000526C3" w:rsidRPr="00E16334" w:rsidRDefault="00D22C4F" w:rsidP="00D22C4F">
            <w:pPr>
              <w:divId w:val="814834836"/>
              <w:rPr>
                <w:sz w:val="20"/>
                <w:lang w:val="en-GB"/>
              </w:rPr>
            </w:pPr>
            <w:r w:rsidRPr="00E16334">
              <w:rPr>
                <w:rStyle w:val="unchecked-marker"/>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Moderate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Large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Varies</w:t>
            </w:r>
            <w:r w:rsidR="00E93513" w:rsidRPr="00E16334">
              <w:rPr>
                <w:rStyle w:val="ep-radiobuttonlabel"/>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005467BC"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t know</w:t>
            </w:r>
            <w:r w:rsidR="00045AF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D8E1F8" w14:textId="77777777" w:rsidR="00DB37F5" w:rsidRDefault="00DB37F5" w:rsidP="00DB37F5">
            <w:pPr>
              <w:divId w:val="1716201253"/>
              <w:rPr>
                <w:rFonts w:ascii="Calibri" w:hAnsi="Calibri" w:cs="Calibri"/>
                <w:iCs/>
                <w:sz w:val="20"/>
                <w:szCs w:val="20"/>
                <w:lang w:val="en-GB"/>
              </w:rPr>
            </w:pPr>
            <w:r w:rsidRPr="00701AC0">
              <w:rPr>
                <w:rFonts w:ascii="Calibri" w:hAnsi="Calibri" w:cs="Calibri"/>
                <w:iCs/>
                <w:sz w:val="20"/>
                <w:szCs w:val="20"/>
                <w:lang w:val="en-GB"/>
              </w:rPr>
              <w:t>NSE was investigated in thirteen observational studies [Dhakal 2016</w:t>
            </w:r>
            <w:r>
              <w:rPr>
                <w:rFonts w:ascii="Calibri" w:hAnsi="Calibri" w:cs="Calibri"/>
                <w:iCs/>
                <w:sz w:val="20"/>
                <w:szCs w:val="20"/>
                <w:lang w:val="en-GB"/>
              </w:rPr>
              <w:t xml:space="preserve"> 116</w:t>
            </w:r>
            <w:r w:rsidRPr="00701AC0">
              <w:rPr>
                <w:rFonts w:ascii="Calibri" w:hAnsi="Calibri" w:cs="Calibri"/>
                <w:iCs/>
                <w:sz w:val="20"/>
                <w:szCs w:val="20"/>
                <w:lang w:val="en-GB"/>
              </w:rPr>
              <w:t xml:space="preserve">; </w:t>
            </w:r>
            <w:r>
              <w:rPr>
                <w:rFonts w:ascii="Calibri" w:hAnsi="Calibri" w:cs="Calibri"/>
                <w:iCs/>
                <w:sz w:val="20"/>
                <w:szCs w:val="20"/>
                <w:lang w:val="en-GB"/>
              </w:rPr>
              <w:t>Lee 2013 1387</w:t>
            </w:r>
            <w:r w:rsidRPr="00701AC0">
              <w:rPr>
                <w:rFonts w:ascii="Calibri" w:hAnsi="Calibri" w:cs="Calibri"/>
                <w:iCs/>
                <w:sz w:val="20"/>
                <w:szCs w:val="20"/>
                <w:lang w:val="en-GB"/>
              </w:rPr>
              <w:t>; Chung-Esaki 2018</w:t>
            </w:r>
            <w:r>
              <w:rPr>
                <w:rFonts w:ascii="Calibri" w:hAnsi="Calibri" w:cs="Calibri"/>
                <w:iCs/>
                <w:sz w:val="20"/>
                <w:szCs w:val="20"/>
                <w:lang w:val="en-GB"/>
              </w:rPr>
              <w:t xml:space="preserve"> 99</w:t>
            </w:r>
            <w:r w:rsidRPr="00701AC0">
              <w:rPr>
                <w:rFonts w:ascii="Calibri" w:hAnsi="Calibri" w:cs="Calibri"/>
                <w:iCs/>
                <w:sz w:val="20"/>
                <w:szCs w:val="20"/>
                <w:lang w:val="en-GB"/>
              </w:rPr>
              <w:t xml:space="preserve">; </w:t>
            </w:r>
            <w:r>
              <w:rPr>
                <w:rFonts w:ascii="Calibri" w:hAnsi="Calibri" w:cs="Calibri"/>
                <w:iCs/>
                <w:sz w:val="20"/>
                <w:szCs w:val="20"/>
                <w:lang w:val="en-GB"/>
              </w:rPr>
              <w:t>Vondrakova 2017 172</w:t>
            </w:r>
            <w:r w:rsidRPr="00701AC0">
              <w:rPr>
                <w:rFonts w:ascii="Calibri" w:hAnsi="Calibri" w:cs="Calibri"/>
                <w:iCs/>
                <w:sz w:val="20"/>
                <w:szCs w:val="20"/>
                <w:lang w:val="en-GB"/>
              </w:rPr>
              <w:t xml:space="preserve">; </w:t>
            </w:r>
            <w:r>
              <w:rPr>
                <w:rFonts w:ascii="Calibri" w:hAnsi="Calibri" w:cs="Calibri"/>
                <w:iCs/>
                <w:sz w:val="20"/>
                <w:szCs w:val="20"/>
                <w:lang w:val="en-GB"/>
              </w:rPr>
              <w:t>Duez 2018 79</w:t>
            </w:r>
            <w:r w:rsidRPr="00701AC0">
              <w:rPr>
                <w:rFonts w:ascii="Calibri" w:hAnsi="Calibri" w:cs="Calibri"/>
                <w:iCs/>
                <w:sz w:val="20"/>
                <w:szCs w:val="20"/>
                <w:lang w:val="en-GB"/>
              </w:rPr>
              <w:t xml:space="preserve">; </w:t>
            </w:r>
            <w:r>
              <w:rPr>
                <w:rFonts w:ascii="Calibri" w:hAnsi="Calibri" w:cs="Calibri"/>
                <w:iCs/>
                <w:sz w:val="20"/>
                <w:szCs w:val="20"/>
                <w:lang w:val="en-GB"/>
              </w:rPr>
              <w:t>Kim 2018 33</w:t>
            </w:r>
            <w:r w:rsidRPr="00701AC0">
              <w:rPr>
                <w:rFonts w:ascii="Calibri" w:hAnsi="Calibri" w:cs="Calibri"/>
                <w:iCs/>
                <w:sz w:val="20"/>
                <w:szCs w:val="20"/>
                <w:lang w:val="en-GB"/>
              </w:rPr>
              <w:t xml:space="preserve">; </w:t>
            </w:r>
            <w:r>
              <w:rPr>
                <w:rFonts w:ascii="Calibri" w:hAnsi="Calibri" w:cs="Calibri"/>
                <w:iCs/>
                <w:sz w:val="20"/>
                <w:szCs w:val="20"/>
                <w:lang w:val="en-GB"/>
              </w:rPr>
              <w:t>Stammet 2015 2104</w:t>
            </w:r>
            <w:r w:rsidRPr="00701AC0">
              <w:rPr>
                <w:rFonts w:ascii="Calibri" w:hAnsi="Calibri" w:cs="Calibri"/>
                <w:iCs/>
                <w:sz w:val="20"/>
                <w:szCs w:val="20"/>
                <w:lang w:val="en-GB"/>
              </w:rPr>
              <w:t xml:space="preserve">; </w:t>
            </w:r>
            <w:r>
              <w:rPr>
                <w:rFonts w:ascii="Calibri" w:hAnsi="Calibri" w:cs="Calibri"/>
                <w:iCs/>
                <w:sz w:val="20"/>
                <w:szCs w:val="20"/>
                <w:lang w:val="en-GB"/>
              </w:rPr>
              <w:t>Zellner 2013 1382</w:t>
            </w:r>
            <w:r w:rsidRPr="00701AC0">
              <w:rPr>
                <w:rFonts w:ascii="Calibri" w:hAnsi="Calibri" w:cs="Calibri"/>
                <w:iCs/>
                <w:sz w:val="20"/>
                <w:szCs w:val="20"/>
                <w:lang w:val="en-GB"/>
              </w:rPr>
              <w:t xml:space="preserve">; </w:t>
            </w:r>
            <w:r>
              <w:rPr>
                <w:rFonts w:ascii="Calibri" w:hAnsi="Calibri" w:cs="Calibri"/>
                <w:iCs/>
                <w:sz w:val="20"/>
                <w:szCs w:val="20"/>
                <w:lang w:val="en-GB"/>
              </w:rPr>
              <w:t>Tsetsou 2018 104</w:t>
            </w:r>
            <w:r w:rsidRPr="00701AC0">
              <w:rPr>
                <w:rFonts w:ascii="Calibri" w:hAnsi="Calibri" w:cs="Calibri"/>
                <w:iCs/>
                <w:sz w:val="20"/>
                <w:szCs w:val="20"/>
                <w:lang w:val="en-GB"/>
              </w:rPr>
              <w:t xml:space="preserve">; </w:t>
            </w:r>
            <w:r>
              <w:rPr>
                <w:rFonts w:ascii="Calibri" w:hAnsi="Calibri" w:cs="Calibri"/>
                <w:iCs/>
                <w:sz w:val="20"/>
                <w:szCs w:val="20"/>
                <w:lang w:val="en-GB"/>
              </w:rPr>
              <w:t>Helwig 2017 68</w:t>
            </w:r>
            <w:r w:rsidRPr="00701AC0">
              <w:rPr>
                <w:rFonts w:ascii="Calibri" w:hAnsi="Calibri" w:cs="Calibri"/>
                <w:iCs/>
                <w:sz w:val="20"/>
                <w:szCs w:val="20"/>
                <w:lang w:val="en-GB"/>
              </w:rPr>
              <w:t xml:space="preserve">; </w:t>
            </w:r>
            <w:r>
              <w:rPr>
                <w:rFonts w:ascii="Calibri" w:hAnsi="Calibri" w:cs="Calibri"/>
                <w:iCs/>
                <w:sz w:val="20"/>
                <w:szCs w:val="20"/>
                <w:lang w:val="en-GB"/>
              </w:rPr>
              <w:t>Moseby-Knappe 2017 89</w:t>
            </w:r>
            <w:r w:rsidRPr="00701AC0">
              <w:rPr>
                <w:rFonts w:ascii="Calibri" w:hAnsi="Calibri" w:cs="Calibri"/>
                <w:iCs/>
                <w:sz w:val="20"/>
                <w:szCs w:val="20"/>
                <w:lang w:val="en-GB"/>
              </w:rPr>
              <w:t xml:space="preserve">; </w:t>
            </w:r>
            <w:r>
              <w:rPr>
                <w:rFonts w:ascii="Calibri" w:hAnsi="Calibri" w:cs="Calibri"/>
                <w:iCs/>
                <w:sz w:val="20"/>
                <w:szCs w:val="20"/>
                <w:lang w:val="en-GB"/>
              </w:rPr>
              <w:t>Zhou 2019 343</w:t>
            </w:r>
            <w:r w:rsidRPr="00701AC0">
              <w:rPr>
                <w:rFonts w:ascii="Calibri" w:hAnsi="Calibri" w:cs="Calibri"/>
                <w:iCs/>
                <w:sz w:val="20"/>
                <w:szCs w:val="20"/>
                <w:lang w:val="en-GB"/>
              </w:rPr>
              <w:t xml:space="preserve">; </w:t>
            </w:r>
            <w:r>
              <w:rPr>
                <w:rFonts w:ascii="Calibri" w:hAnsi="Calibri" w:cs="Calibri"/>
                <w:iCs/>
                <w:sz w:val="20"/>
                <w:szCs w:val="20"/>
                <w:lang w:val="en-GB"/>
              </w:rPr>
              <w:t>Rossetti 2017 e674</w:t>
            </w:r>
            <w:r w:rsidRPr="00701AC0">
              <w:rPr>
                <w:rFonts w:ascii="Calibri" w:hAnsi="Calibri" w:cs="Calibri"/>
                <w:iCs/>
                <w:sz w:val="20"/>
                <w:szCs w:val="20"/>
                <w:lang w:val="en-GB"/>
              </w:rPr>
              <w:t>].</w:t>
            </w:r>
          </w:p>
          <w:p w14:paraId="2261A5E3" w14:textId="77777777" w:rsidR="00DB37F5" w:rsidRDefault="00DB37F5" w:rsidP="00DB37F5">
            <w:pPr>
              <w:divId w:val="1716201253"/>
              <w:rPr>
                <w:rFonts w:ascii="Calibri" w:hAnsi="Calibri" w:cs="Calibri"/>
                <w:iCs/>
                <w:sz w:val="20"/>
                <w:szCs w:val="20"/>
                <w:lang w:val="en-GB"/>
              </w:rPr>
            </w:pPr>
            <w:r w:rsidRPr="00701AC0">
              <w:rPr>
                <w:rFonts w:ascii="Calibri" w:hAnsi="Calibri" w:cs="Calibri"/>
                <w:iCs/>
                <w:sz w:val="20"/>
                <w:szCs w:val="20"/>
                <w:lang w:val="en-GB"/>
              </w:rPr>
              <w:t>In thirteen studies [Dhakal 2016</w:t>
            </w:r>
            <w:r>
              <w:rPr>
                <w:rFonts w:ascii="Calibri" w:hAnsi="Calibri" w:cs="Calibri"/>
                <w:iCs/>
                <w:sz w:val="20"/>
                <w:szCs w:val="20"/>
                <w:lang w:val="en-GB"/>
              </w:rPr>
              <w:t xml:space="preserve"> 116</w:t>
            </w:r>
            <w:r w:rsidRPr="00701AC0">
              <w:rPr>
                <w:rFonts w:ascii="Calibri" w:hAnsi="Calibri" w:cs="Calibri"/>
                <w:iCs/>
                <w:sz w:val="20"/>
                <w:szCs w:val="20"/>
                <w:lang w:val="en-GB"/>
              </w:rPr>
              <w:t xml:space="preserve">, 78 pts; </w:t>
            </w:r>
            <w:r>
              <w:rPr>
                <w:rFonts w:ascii="Calibri" w:hAnsi="Calibri" w:cs="Calibri"/>
                <w:iCs/>
                <w:sz w:val="20"/>
                <w:szCs w:val="20"/>
                <w:lang w:val="en-GB"/>
              </w:rPr>
              <w:t>Lee 2013 1387</w:t>
            </w:r>
            <w:r w:rsidRPr="00701AC0">
              <w:rPr>
                <w:rFonts w:ascii="Calibri" w:hAnsi="Calibri" w:cs="Calibri"/>
                <w:iCs/>
                <w:sz w:val="20"/>
                <w:szCs w:val="20"/>
                <w:lang w:val="en-GB"/>
              </w:rPr>
              <w:t>, 224 pts; Chung-Esaki 2018</w:t>
            </w:r>
            <w:r>
              <w:rPr>
                <w:rFonts w:ascii="Calibri" w:hAnsi="Calibri" w:cs="Calibri"/>
                <w:iCs/>
                <w:sz w:val="20"/>
                <w:szCs w:val="20"/>
                <w:lang w:val="en-GB"/>
              </w:rPr>
              <w:t xml:space="preserve"> 99</w:t>
            </w:r>
            <w:r w:rsidRPr="00701AC0">
              <w:rPr>
                <w:rFonts w:ascii="Calibri" w:hAnsi="Calibri" w:cs="Calibri"/>
                <w:iCs/>
                <w:sz w:val="20"/>
                <w:szCs w:val="20"/>
                <w:lang w:val="en-GB"/>
              </w:rPr>
              <w:t xml:space="preserve">, 72 pts; </w:t>
            </w:r>
            <w:r>
              <w:rPr>
                <w:rFonts w:ascii="Calibri" w:hAnsi="Calibri" w:cs="Calibri"/>
                <w:iCs/>
                <w:sz w:val="20"/>
                <w:szCs w:val="20"/>
                <w:lang w:val="en-GB"/>
              </w:rPr>
              <w:t>Vondrakova 2017 172</w:t>
            </w:r>
            <w:r w:rsidRPr="00701AC0">
              <w:rPr>
                <w:rFonts w:ascii="Calibri" w:hAnsi="Calibri" w:cs="Calibri"/>
                <w:iCs/>
                <w:sz w:val="20"/>
                <w:szCs w:val="20"/>
                <w:lang w:val="en-GB"/>
              </w:rPr>
              <w:t xml:space="preserve">, 153 pts; </w:t>
            </w:r>
            <w:r>
              <w:rPr>
                <w:rFonts w:ascii="Calibri" w:hAnsi="Calibri" w:cs="Calibri"/>
                <w:iCs/>
                <w:sz w:val="20"/>
                <w:szCs w:val="20"/>
                <w:lang w:val="en-GB"/>
              </w:rPr>
              <w:t>Duez 2018 79</w:t>
            </w:r>
            <w:r w:rsidRPr="00701AC0">
              <w:rPr>
                <w:rFonts w:ascii="Calibri" w:hAnsi="Calibri" w:cs="Calibri"/>
                <w:iCs/>
                <w:sz w:val="20"/>
                <w:szCs w:val="20"/>
                <w:lang w:val="en-GB"/>
              </w:rPr>
              <w:t xml:space="preserve">, 115 pts; </w:t>
            </w:r>
            <w:r>
              <w:rPr>
                <w:rFonts w:ascii="Calibri" w:hAnsi="Calibri" w:cs="Calibri"/>
                <w:iCs/>
                <w:sz w:val="20"/>
                <w:szCs w:val="20"/>
                <w:lang w:val="en-GB"/>
              </w:rPr>
              <w:t>Kim 2018 33</w:t>
            </w:r>
            <w:r w:rsidRPr="00701AC0">
              <w:rPr>
                <w:rFonts w:ascii="Calibri" w:hAnsi="Calibri" w:cs="Calibri"/>
                <w:iCs/>
                <w:sz w:val="20"/>
                <w:szCs w:val="20"/>
                <w:lang w:val="en-GB"/>
              </w:rPr>
              <w:t xml:space="preserve">, 125 pts; </w:t>
            </w:r>
            <w:r>
              <w:rPr>
                <w:rFonts w:ascii="Calibri" w:hAnsi="Calibri" w:cs="Calibri"/>
                <w:iCs/>
                <w:sz w:val="20"/>
                <w:szCs w:val="20"/>
                <w:lang w:val="en-GB"/>
              </w:rPr>
              <w:t>Stammet 2015 2104</w:t>
            </w:r>
            <w:r w:rsidRPr="00701AC0">
              <w:rPr>
                <w:rFonts w:ascii="Calibri" w:hAnsi="Calibri" w:cs="Calibri"/>
                <w:iCs/>
                <w:sz w:val="20"/>
                <w:szCs w:val="20"/>
                <w:lang w:val="en-GB"/>
              </w:rPr>
              <w:t xml:space="preserve">, 686 pts; </w:t>
            </w:r>
            <w:r>
              <w:rPr>
                <w:rFonts w:ascii="Calibri" w:hAnsi="Calibri" w:cs="Calibri"/>
                <w:iCs/>
                <w:sz w:val="20"/>
                <w:szCs w:val="20"/>
                <w:lang w:val="en-GB"/>
              </w:rPr>
              <w:t>Zellner 2013 1382</w:t>
            </w:r>
            <w:r w:rsidRPr="00701AC0">
              <w:rPr>
                <w:rFonts w:ascii="Calibri" w:hAnsi="Calibri" w:cs="Calibri"/>
                <w:iCs/>
                <w:sz w:val="20"/>
                <w:szCs w:val="20"/>
                <w:lang w:val="en-GB"/>
              </w:rPr>
              <w:t xml:space="preserve">, 110 pts; </w:t>
            </w:r>
            <w:r>
              <w:rPr>
                <w:rFonts w:ascii="Calibri" w:hAnsi="Calibri" w:cs="Calibri"/>
                <w:iCs/>
                <w:sz w:val="20"/>
                <w:szCs w:val="20"/>
                <w:lang w:val="en-GB"/>
              </w:rPr>
              <w:t>Tsetsou 2018 104</w:t>
            </w:r>
            <w:r w:rsidRPr="00701AC0">
              <w:rPr>
                <w:rFonts w:ascii="Calibri" w:hAnsi="Calibri" w:cs="Calibri"/>
                <w:iCs/>
                <w:sz w:val="20"/>
                <w:szCs w:val="20"/>
                <w:lang w:val="en-GB"/>
              </w:rPr>
              <w:t xml:space="preserve">, 61 pts; </w:t>
            </w:r>
            <w:r>
              <w:rPr>
                <w:rFonts w:ascii="Calibri" w:hAnsi="Calibri" w:cs="Calibri"/>
                <w:iCs/>
                <w:sz w:val="20"/>
                <w:szCs w:val="20"/>
                <w:lang w:val="en-GB"/>
              </w:rPr>
              <w:t>Helwig 2017 68</w:t>
            </w:r>
            <w:r w:rsidRPr="00701AC0">
              <w:rPr>
                <w:rFonts w:ascii="Calibri" w:hAnsi="Calibri" w:cs="Calibri"/>
                <w:iCs/>
                <w:sz w:val="20"/>
                <w:szCs w:val="20"/>
                <w:lang w:val="en-GB"/>
              </w:rPr>
              <w:t xml:space="preserve">, 100 pts; </w:t>
            </w:r>
            <w:r>
              <w:rPr>
                <w:rFonts w:ascii="Calibri" w:hAnsi="Calibri" w:cs="Calibri"/>
                <w:iCs/>
                <w:sz w:val="20"/>
                <w:szCs w:val="20"/>
                <w:lang w:val="en-GB"/>
              </w:rPr>
              <w:t>Moseby-Knappe 2017 89</w:t>
            </w:r>
            <w:r w:rsidRPr="00701AC0">
              <w:rPr>
                <w:rFonts w:ascii="Calibri" w:hAnsi="Calibri" w:cs="Calibri"/>
                <w:iCs/>
                <w:sz w:val="20"/>
                <w:szCs w:val="20"/>
                <w:lang w:val="en-GB"/>
              </w:rPr>
              <w:t xml:space="preserve">, 276 pts; </w:t>
            </w:r>
            <w:r>
              <w:rPr>
                <w:rFonts w:ascii="Calibri" w:hAnsi="Calibri" w:cs="Calibri"/>
                <w:iCs/>
                <w:sz w:val="20"/>
                <w:szCs w:val="20"/>
                <w:lang w:val="en-GB"/>
              </w:rPr>
              <w:t>Zhou 2019 343</w:t>
            </w:r>
            <w:r w:rsidRPr="00701AC0">
              <w:rPr>
                <w:rFonts w:ascii="Calibri" w:hAnsi="Calibri" w:cs="Calibri"/>
                <w:iCs/>
                <w:sz w:val="20"/>
                <w:szCs w:val="20"/>
                <w:lang w:val="en-GB"/>
              </w:rPr>
              <w:t xml:space="preserve">, 34 pts; </w:t>
            </w:r>
            <w:r>
              <w:rPr>
                <w:rFonts w:ascii="Calibri" w:hAnsi="Calibri" w:cs="Calibri"/>
                <w:iCs/>
                <w:sz w:val="20"/>
                <w:szCs w:val="20"/>
                <w:lang w:val="en-GB"/>
              </w:rPr>
              <w:t>Rossetti 2017 e674</w:t>
            </w:r>
            <w:r w:rsidRPr="00701AC0">
              <w:rPr>
                <w:rFonts w:ascii="Calibri" w:hAnsi="Calibri" w:cs="Calibri"/>
                <w:iCs/>
                <w:sz w:val="20"/>
                <w:szCs w:val="20"/>
                <w:lang w:val="en-GB"/>
              </w:rPr>
              <w:t xml:space="preserve">, 329 pts] </w:t>
            </w:r>
            <w:r w:rsidRPr="00DB37F5">
              <w:rPr>
                <w:rFonts w:ascii="Calibri" w:hAnsi="Calibri" w:cs="Calibri"/>
                <w:b/>
                <w:i/>
                <w:iCs/>
                <w:sz w:val="20"/>
                <w:szCs w:val="20"/>
                <w:lang w:val="en-GB"/>
              </w:rPr>
              <w:t>NSE with a cut-off ranging from 33 to 120 μg/L within 72h</w:t>
            </w:r>
            <w:r w:rsidRPr="00701AC0">
              <w:rPr>
                <w:rFonts w:ascii="Calibri" w:hAnsi="Calibri" w:cs="Calibri"/>
                <w:iCs/>
                <w:sz w:val="20"/>
                <w:szCs w:val="20"/>
                <w:lang w:val="en-GB"/>
              </w:rPr>
              <w:t xml:space="preserve"> predicted poor neurological outcome from hospital discharge to 6 months with specificity ranging from 75% to 100% and sensitivity ranging from 7.8% to 83.6% (certainty of evidence from moderate to very low).</w:t>
            </w:r>
          </w:p>
          <w:p w14:paraId="6CCADAB5" w14:textId="1C0B2900" w:rsidR="000526C3" w:rsidRPr="00DB37F5" w:rsidRDefault="00DB37F5" w:rsidP="00DB37F5">
            <w:pPr>
              <w:divId w:val="1716201253"/>
              <w:rPr>
                <w:rFonts w:ascii="Calibri" w:hAnsi="Calibri" w:cs="Calibri"/>
                <w:iCs/>
                <w:sz w:val="20"/>
                <w:szCs w:val="20"/>
                <w:lang w:val="en-GB"/>
              </w:rPr>
            </w:pPr>
            <w:r w:rsidRPr="00701AC0">
              <w:rPr>
                <w:rFonts w:ascii="Calibri" w:hAnsi="Calibri" w:cs="Calibri"/>
                <w:iCs/>
                <w:sz w:val="20"/>
                <w:szCs w:val="20"/>
                <w:lang w:val="en-GB"/>
              </w:rPr>
              <w:t>In one study [</w:t>
            </w:r>
            <w:r>
              <w:rPr>
                <w:rFonts w:ascii="Calibri" w:hAnsi="Calibri" w:cs="Calibri"/>
                <w:iCs/>
                <w:sz w:val="20"/>
                <w:szCs w:val="20"/>
                <w:lang w:val="en-GB"/>
              </w:rPr>
              <w:t>Vondrakova 2017 172</w:t>
            </w:r>
            <w:r w:rsidRPr="00701AC0">
              <w:rPr>
                <w:rFonts w:ascii="Calibri" w:hAnsi="Calibri" w:cs="Calibri"/>
                <w:iCs/>
                <w:sz w:val="20"/>
                <w:szCs w:val="20"/>
                <w:lang w:val="en-GB"/>
              </w:rPr>
              <w:t xml:space="preserve">, 153 pts] </w:t>
            </w:r>
            <w:r w:rsidRPr="00DB37F5">
              <w:rPr>
                <w:rFonts w:ascii="Calibri" w:hAnsi="Calibri" w:cs="Calibri"/>
                <w:b/>
                <w:i/>
                <w:iCs/>
                <w:sz w:val="20"/>
                <w:szCs w:val="20"/>
                <w:lang w:val="en-GB"/>
              </w:rPr>
              <w:t>NSE with a cut-off of 50.2 μg/L at day 4</w:t>
            </w:r>
            <w:r w:rsidRPr="00701AC0">
              <w:rPr>
                <w:rFonts w:ascii="Calibri" w:hAnsi="Calibri" w:cs="Calibri"/>
                <w:iCs/>
                <w:sz w:val="20"/>
                <w:szCs w:val="20"/>
                <w:lang w:val="en-GB"/>
              </w:rPr>
              <w:t xml:space="preserve"> predicted poor neurological outcome at 1 month with 100% specificity and 42.1% sensitivity (moderate certainty of evidence)</w:t>
            </w:r>
            <w:r>
              <w:rPr>
                <w:rFonts w:ascii="Calibri" w:hAnsi="Calibri" w:cs="Calibri"/>
                <w:iCs/>
                <w:sz w:val="20"/>
                <w:szCs w:val="20"/>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567EDE" w:rsidRPr="00E16334" w:rsidRDefault="00567EDE" w:rsidP="00D22C4F">
            <w:pPr>
              <w:divId w:val="1184974627"/>
              <w:rPr>
                <w:rFonts w:ascii="Calibri" w:eastAsia="Times New Roman" w:hAnsi="Calibri" w:cs="Calibri"/>
                <w:sz w:val="20"/>
                <w:szCs w:val="16"/>
                <w:lang w:val="en-GB"/>
              </w:rPr>
            </w:pPr>
          </w:p>
        </w:tc>
      </w:tr>
      <w:tr w:rsidR="000526C3" w:rsidRPr="00E16334"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E16334" w:rsidRDefault="00045AFF">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Undesirable Effects</w:t>
            </w:r>
          </w:p>
          <w:p w14:paraId="2BB7A0B7" w14:textId="77777777" w:rsidR="000526C3" w:rsidRPr="00E16334" w:rsidRDefault="00045AFF">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0526C3" w:rsidRPr="00E16334"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3A0E4062" w14:textId="77777777" w:rsidTr="00557635">
        <w:trPr>
          <w:divId w:val="1347438940"/>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77777777" w:rsidR="001A365A" w:rsidRPr="00E16334" w:rsidRDefault="000F41CF" w:rsidP="001A365A">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Small</w:t>
            </w:r>
            <w:r w:rsidRPr="00E16334">
              <w:rPr>
                <w:rFonts w:ascii="Calibri" w:eastAsia="Times New Roman" w:hAnsi="Calibri" w:cs="Calibri"/>
                <w:sz w:val="20"/>
                <w:szCs w:val="16"/>
                <w:lang w:val="en-GB"/>
              </w:rPr>
              <w:br/>
            </w:r>
            <w:r w:rsidR="001A365A"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Trivial</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0B769301" w:rsidR="000F41CF" w:rsidRPr="00E16334" w:rsidRDefault="001A365A" w:rsidP="001A365A">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0F41CF" w:rsidRPr="00E16334">
              <w:rPr>
                <w:rStyle w:val="ep-radiobuttonlabel"/>
                <w:rFonts w:ascii="Calibri" w:eastAsia="Times New Roman" w:hAnsi="Calibri" w:cs="Calibri"/>
                <w:sz w:val="20"/>
                <w:szCs w:val="16"/>
                <w:lang w:val="en-GB"/>
              </w:rPr>
              <w:t>Don't know</w:t>
            </w:r>
            <w:r w:rsidR="000F41C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08A7D450" w:rsidR="000F41CF" w:rsidRPr="00E16334" w:rsidRDefault="001A365A" w:rsidP="00557635">
            <w:pPr>
              <w:rPr>
                <w:rFonts w:ascii="Calibri" w:eastAsia="Times New Roman" w:hAnsi="Calibri" w:cs="Calibri"/>
                <w:sz w:val="20"/>
                <w:szCs w:val="16"/>
                <w:lang w:val="en-GB"/>
              </w:rPr>
            </w:pPr>
            <w:r w:rsidRPr="00E16334">
              <w:rPr>
                <w:rFonts w:ascii="Calibri" w:eastAsia="Times New Roman" w:hAnsi="Calibri" w:cs="Calibri"/>
                <w:sz w:val="20"/>
                <w:szCs w:val="16"/>
                <w:lang w:val="en-GB"/>
              </w:rPr>
              <w:t>A false positive prediction based on</w:t>
            </w:r>
            <w:r w:rsidR="007E4A2B" w:rsidRPr="00E16334">
              <w:rPr>
                <w:rFonts w:ascii="Calibri" w:eastAsia="Times New Roman" w:hAnsi="Calibri" w:cs="Calibri"/>
                <w:sz w:val="20"/>
                <w:szCs w:val="16"/>
                <w:lang w:val="en-GB"/>
              </w:rPr>
              <w:t xml:space="preserve"> NSE levels above the cut-off chosen for predicting poor neurological outcome </w:t>
            </w:r>
            <w:r w:rsidRPr="00E16334">
              <w:rPr>
                <w:rFonts w:ascii="Calibri" w:eastAsia="Times New Roman" w:hAnsi="Calibri" w:cs="Calibri"/>
                <w:sz w:val="20"/>
                <w:szCs w:val="16"/>
                <w:lang w:val="en-GB"/>
              </w:rPr>
              <w:t xml:space="preserve">may </w:t>
            </w:r>
            <w:r w:rsidR="007E4A2B" w:rsidRPr="00E16334">
              <w:rPr>
                <w:rFonts w:ascii="Calibri" w:eastAsia="Times New Roman" w:hAnsi="Calibri" w:cs="Calibri"/>
                <w:sz w:val="20"/>
                <w:szCs w:val="16"/>
                <w:lang w:val="en-GB"/>
              </w:rPr>
              <w:t xml:space="preserve">lead to treatment restrictions in </w:t>
            </w:r>
            <w:r w:rsidRPr="00E16334">
              <w:rPr>
                <w:rFonts w:ascii="Calibri" w:eastAsia="Times New Roman" w:hAnsi="Calibri" w:cs="Calibri"/>
                <w:sz w:val="20"/>
                <w:szCs w:val="16"/>
                <w:lang w:val="en-GB"/>
              </w:rPr>
              <w:t>patient</w:t>
            </w:r>
            <w:r w:rsidR="007E4A2B" w:rsidRPr="00E16334">
              <w:rPr>
                <w:rFonts w:ascii="Calibri" w:eastAsia="Times New Roman" w:hAnsi="Calibri" w:cs="Calibri"/>
                <w:sz w:val="20"/>
                <w:szCs w:val="16"/>
                <w:lang w:val="en-GB"/>
              </w:rPr>
              <w:t>s</w:t>
            </w:r>
            <w:r w:rsidRPr="00E16334">
              <w:rPr>
                <w:rFonts w:ascii="Calibri" w:eastAsia="Times New Roman" w:hAnsi="Calibri" w:cs="Calibri"/>
                <w:sz w:val="20"/>
                <w:szCs w:val="16"/>
                <w:lang w:val="en-GB"/>
              </w:rPr>
              <w:t xml:space="preserve"> </w:t>
            </w:r>
            <w:r w:rsidR="008E06F7" w:rsidRPr="00E16334">
              <w:rPr>
                <w:rFonts w:ascii="Calibri" w:eastAsia="Times New Roman" w:hAnsi="Calibri" w:cs="Calibri"/>
                <w:sz w:val="20"/>
                <w:szCs w:val="16"/>
                <w:lang w:val="en-GB"/>
              </w:rPr>
              <w:t xml:space="preserve">destined to a </w:t>
            </w:r>
            <w:r w:rsidRPr="00E16334">
              <w:rPr>
                <w:rFonts w:ascii="Calibri" w:eastAsia="Times New Roman" w:hAnsi="Calibri" w:cs="Calibri"/>
                <w:sz w:val="20"/>
                <w:szCs w:val="16"/>
                <w:lang w:val="en-GB"/>
              </w:rPr>
              <w:t>good recovery</w:t>
            </w:r>
            <w:r w:rsidR="00130B30" w:rsidRPr="00E16334">
              <w:rPr>
                <w:rFonts w:ascii="Calibri" w:eastAsia="Times New Roman" w:hAnsi="Calibri" w:cs="Calibri"/>
                <w:sz w:val="20"/>
                <w:szCs w:val="16"/>
                <w:lang w:val="en-GB"/>
              </w:rPr>
              <w:t xml:space="preserve">. This is likely to occur given the variability of cut-offs for 100% specificity </w:t>
            </w:r>
            <w:r w:rsidR="00557635" w:rsidRPr="00E16334">
              <w:rPr>
                <w:rFonts w:ascii="Calibri" w:eastAsia="Times New Roman" w:hAnsi="Calibri" w:cs="Calibri"/>
                <w:sz w:val="20"/>
                <w:szCs w:val="16"/>
                <w:lang w:val="en-GB"/>
              </w:rPr>
              <w:t>across studies, and the potential for confounding from h</w:t>
            </w:r>
            <w:r w:rsidR="0036384C">
              <w:rPr>
                <w:rFonts w:ascii="Calibri" w:eastAsia="Times New Roman" w:hAnsi="Calibri" w:cs="Calibri"/>
                <w:sz w:val="20"/>
                <w:szCs w:val="16"/>
                <w:lang w:val="en-GB"/>
              </w:rPr>
              <w:t>a</w:t>
            </w:r>
            <w:r w:rsidR="00557635" w:rsidRPr="00E16334">
              <w:rPr>
                <w:rFonts w:ascii="Calibri" w:eastAsia="Times New Roman" w:hAnsi="Calibri" w:cs="Calibri"/>
                <w:sz w:val="20"/>
                <w:szCs w:val="16"/>
                <w:lang w:val="en-GB"/>
              </w:rPr>
              <w:t>emolysis or other extracerebral sources of NSE.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E16334" w:rsidRDefault="000F41CF" w:rsidP="000F41CF">
            <w:pPr>
              <w:divId w:val="188185971"/>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r w:rsidR="000F41CF" w:rsidRPr="00E16334"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E16334"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0F41CF" w:rsidRPr="00E16334"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0F41CF" w:rsidRPr="00E16334"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67BE7CA0" w:rsidR="000F41CF" w:rsidRPr="00E16334" w:rsidRDefault="004014E6" w:rsidP="004014E6">
            <w:pPr>
              <w:divId w:val="400564511"/>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Pr>
                <w:rStyle w:val="checked-marke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Very low</w:t>
            </w:r>
            <w:r w:rsidR="000F41CF"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Low</w:t>
            </w:r>
            <w:r w:rsidR="000F41CF" w:rsidRPr="00E16334">
              <w:rPr>
                <w:rFonts w:ascii="Calibri" w:eastAsia="Times New Roman" w:hAnsi="Calibri" w:cs="Calibri"/>
                <w:sz w:val="20"/>
                <w:szCs w:val="16"/>
                <w:lang w:val="en-GB"/>
              </w:rPr>
              <w:br/>
            </w:r>
            <w:r w:rsidR="000F41CF" w:rsidRPr="00E16334">
              <w:rPr>
                <w:rStyle w:val="unchecked-marker"/>
                <w:rFonts w:ascii="Calibri" w:eastAsia="Times New Roman" w:hAnsi="Calibri" w:cs="Calibri"/>
                <w:sz w:val="20"/>
                <w:szCs w:val="16"/>
                <w:lang w:val="en-GB"/>
              </w:rPr>
              <w:t>○</w:t>
            </w:r>
            <w:r w:rsidR="000F41CF"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Moderate</w:t>
            </w:r>
            <w:r w:rsidR="000F41CF" w:rsidRPr="00E16334">
              <w:rPr>
                <w:rFonts w:ascii="Calibri" w:eastAsia="Times New Roman" w:hAnsi="Calibri" w:cs="Calibri"/>
                <w:sz w:val="20"/>
                <w:szCs w:val="16"/>
                <w:lang w:val="en-GB"/>
              </w:rPr>
              <w:br/>
            </w:r>
            <w:r w:rsidR="000F41CF" w:rsidRPr="00E16334">
              <w:rPr>
                <w:rStyle w:val="unchecked-marker"/>
                <w:rFonts w:ascii="Calibri" w:eastAsia="Times New Roman" w:hAnsi="Calibri" w:cs="Calibri"/>
                <w:sz w:val="20"/>
                <w:szCs w:val="16"/>
                <w:lang w:val="en-GB"/>
              </w:rPr>
              <w:t>○</w:t>
            </w:r>
            <w:r w:rsidR="000F41CF"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High</w:t>
            </w:r>
            <w:r w:rsidR="000F41CF" w:rsidRPr="00E16334">
              <w:rPr>
                <w:rFonts w:ascii="Calibri" w:eastAsia="Times New Roman" w:hAnsi="Calibri" w:cs="Calibri"/>
                <w:sz w:val="20"/>
                <w:szCs w:val="16"/>
                <w:lang w:val="en-GB"/>
              </w:rPr>
              <w:br/>
            </w:r>
            <w:r w:rsidR="000F41CF" w:rsidRPr="00E16334">
              <w:rPr>
                <w:rStyle w:val="unchecked-marker"/>
                <w:rFonts w:ascii="Calibri" w:eastAsia="Times New Roman" w:hAnsi="Calibri" w:cs="Calibri"/>
                <w:sz w:val="20"/>
                <w:szCs w:val="16"/>
                <w:lang w:val="en-GB"/>
              </w:rPr>
              <w:t>○</w:t>
            </w:r>
            <w:r w:rsidR="000F41CF"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No included studies</w:t>
            </w:r>
            <w:r w:rsidR="000F41C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1C2BFBEC" w:rsidR="000F41CF" w:rsidRPr="00E16334" w:rsidRDefault="000F41CF" w:rsidP="00522AA3">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certainty of evidence from </w:t>
            </w:r>
            <w:r w:rsidR="00557635" w:rsidRPr="00E16334">
              <w:rPr>
                <w:rFonts w:ascii="Calibri" w:eastAsia="Times New Roman" w:hAnsi="Calibri" w:cs="Calibri"/>
                <w:sz w:val="20"/>
                <w:szCs w:val="16"/>
                <w:lang w:val="en-GB"/>
              </w:rPr>
              <w:t xml:space="preserve">NSE </w:t>
            </w:r>
            <w:r w:rsidRPr="00E16334">
              <w:rPr>
                <w:rFonts w:ascii="Calibri" w:eastAsia="Times New Roman" w:hAnsi="Calibri" w:cs="Calibri"/>
                <w:sz w:val="20"/>
                <w:szCs w:val="16"/>
                <w:lang w:val="en-GB"/>
              </w:rPr>
              <w:t xml:space="preserve">is </w:t>
            </w:r>
            <w:r w:rsidR="004014E6">
              <w:rPr>
                <w:rFonts w:ascii="Calibri" w:eastAsia="Times New Roman" w:hAnsi="Calibri" w:cs="Calibri"/>
                <w:sz w:val="20"/>
                <w:szCs w:val="16"/>
                <w:lang w:val="en-GB"/>
              </w:rPr>
              <w:t xml:space="preserve">very </w:t>
            </w:r>
            <w:r w:rsidRPr="00E16334">
              <w:rPr>
                <w:rFonts w:ascii="Calibri" w:eastAsia="Times New Roman" w:hAnsi="Calibri" w:cs="Calibri"/>
                <w:sz w:val="20"/>
                <w:szCs w:val="16"/>
                <w:lang w:val="en-GB"/>
              </w:rPr>
              <w:t xml:space="preserve">low </w:t>
            </w:r>
            <w:r w:rsidR="000E1322" w:rsidRPr="00E16334">
              <w:rPr>
                <w:rFonts w:ascii="Calibri" w:eastAsia="Times New Roman" w:hAnsi="Calibri" w:cs="Calibri"/>
                <w:sz w:val="20"/>
                <w:szCs w:val="16"/>
                <w:lang w:val="en-GB"/>
              </w:rPr>
              <w:t>because</w:t>
            </w:r>
            <w:r w:rsidR="00CB330B" w:rsidRPr="00E16334">
              <w:rPr>
                <w:rFonts w:ascii="Calibri" w:eastAsia="Times New Roman" w:hAnsi="Calibri" w:cs="Calibri"/>
                <w:sz w:val="20"/>
                <w:szCs w:val="16"/>
                <w:lang w:val="en-GB"/>
              </w:rPr>
              <w:t xml:space="preserve"> of the risk of </w:t>
            </w:r>
            <w:r w:rsidR="006D0D5A" w:rsidRPr="00E16334">
              <w:rPr>
                <w:rFonts w:ascii="Calibri" w:eastAsia="Times New Roman" w:hAnsi="Calibri" w:cs="Calibri"/>
                <w:sz w:val="20"/>
                <w:szCs w:val="16"/>
                <w:lang w:val="en-GB"/>
              </w:rPr>
              <w:t xml:space="preserve">bias, especially </w:t>
            </w:r>
            <w:r w:rsidR="00CB330B" w:rsidRPr="00E16334">
              <w:rPr>
                <w:rFonts w:ascii="Calibri" w:eastAsia="Times New Roman" w:hAnsi="Calibri" w:cs="Calibri"/>
                <w:sz w:val="20"/>
                <w:szCs w:val="16"/>
                <w:lang w:val="en-GB"/>
              </w:rPr>
              <w:t>self-fulfilling prophecy</w:t>
            </w:r>
            <w:r w:rsidR="00FF714D">
              <w:rPr>
                <w:rFonts w:ascii="Calibri" w:eastAsia="Times New Roman" w:hAnsi="Calibri" w:cs="Calibri"/>
                <w:sz w:val="20"/>
                <w:szCs w:val="16"/>
                <w:lang w:val="en-GB"/>
              </w:rPr>
              <w:t>.</w:t>
            </w:r>
            <w:r w:rsidR="007A3BBF" w:rsidRPr="00E16334">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090C4" w14:textId="1DB8FBE2" w:rsidR="007A3BBF" w:rsidRPr="00E16334" w:rsidRDefault="00DF621B" w:rsidP="008E06F7">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Differently from </w:t>
            </w:r>
            <w:r w:rsidR="008E06F7" w:rsidRPr="00E16334">
              <w:rPr>
                <w:rFonts w:ascii="Calibri" w:eastAsia="Times New Roman" w:hAnsi="Calibri" w:cs="Calibri"/>
                <w:sz w:val="20"/>
                <w:szCs w:val="16"/>
                <w:lang w:val="en-GB"/>
              </w:rPr>
              <w:t>other predictors</w:t>
            </w:r>
            <w:r w:rsidRPr="00E16334">
              <w:rPr>
                <w:rFonts w:ascii="Calibri" w:eastAsia="Times New Roman" w:hAnsi="Calibri" w:cs="Calibri"/>
                <w:sz w:val="20"/>
                <w:szCs w:val="16"/>
                <w:lang w:val="en-GB"/>
              </w:rPr>
              <w:t xml:space="preserve">, like those </w:t>
            </w:r>
            <w:r w:rsidR="008E06F7" w:rsidRPr="00E16334">
              <w:rPr>
                <w:rFonts w:ascii="Calibri" w:eastAsia="Times New Roman" w:hAnsi="Calibri" w:cs="Calibri"/>
                <w:sz w:val="20"/>
                <w:szCs w:val="16"/>
                <w:lang w:val="en-GB"/>
              </w:rPr>
              <w:t xml:space="preserve">based on clinical examination, </w:t>
            </w:r>
            <w:r w:rsidRPr="00E16334">
              <w:rPr>
                <w:rFonts w:ascii="Calibri" w:eastAsia="Times New Roman" w:hAnsi="Calibri" w:cs="Calibri"/>
                <w:sz w:val="20"/>
                <w:szCs w:val="16"/>
                <w:lang w:val="en-GB"/>
              </w:rPr>
              <w:t>NSE is not affected by sedation or paralysis</w:t>
            </w:r>
            <w:r w:rsidR="00B56F74" w:rsidRPr="00E16334">
              <w:rPr>
                <w:rFonts w:ascii="Calibri" w:eastAsia="Times New Roman" w:hAnsi="Calibri" w:cs="Calibri"/>
                <w:sz w:val="20"/>
                <w:szCs w:val="16"/>
                <w:lang w:val="en-GB"/>
              </w:rPr>
              <w:t xml:space="preserve">, and it can be </w:t>
            </w:r>
            <w:r w:rsidR="00B56F74" w:rsidRPr="00251392">
              <w:rPr>
                <w:rFonts w:ascii="Calibri" w:eastAsia="Times New Roman" w:hAnsi="Calibri" w:cs="Calibri"/>
                <w:sz w:val="20"/>
                <w:szCs w:val="16"/>
                <w:lang w:val="en-GB"/>
              </w:rPr>
              <w:t xml:space="preserve">assessed blindly. However, in most of the studies we </w:t>
            </w:r>
            <w:r w:rsidR="00B56F74" w:rsidRPr="00251392">
              <w:rPr>
                <w:rFonts w:ascii="Calibri" w:eastAsia="Times New Roman" w:hAnsi="Calibri" w:cs="Calibri"/>
                <w:sz w:val="20"/>
                <w:szCs w:val="16"/>
                <w:lang w:val="en-GB"/>
              </w:rPr>
              <w:lastRenderedPageBreak/>
              <w:t>evaluated</w:t>
            </w:r>
            <w:r w:rsidR="00515153" w:rsidRPr="00251392">
              <w:rPr>
                <w:rFonts w:ascii="Calibri" w:eastAsia="Times New Roman" w:hAnsi="Calibri" w:cs="Calibri"/>
                <w:sz w:val="20"/>
                <w:szCs w:val="16"/>
                <w:lang w:val="en-GB"/>
              </w:rPr>
              <w:t xml:space="preserve">, </w:t>
            </w:r>
            <w:r w:rsidR="00B56F74" w:rsidRPr="00251392">
              <w:rPr>
                <w:rFonts w:ascii="Calibri" w:eastAsia="Times New Roman" w:hAnsi="Calibri" w:cs="Calibri"/>
                <w:sz w:val="20"/>
                <w:szCs w:val="16"/>
                <w:lang w:val="en-GB"/>
              </w:rPr>
              <w:t>results of NSE measurement were not concealed from the treating team</w:t>
            </w:r>
            <w:r w:rsidR="008E06F7" w:rsidRPr="00251392">
              <w:rPr>
                <w:rFonts w:ascii="Calibri" w:eastAsia="Times New Roman" w:hAnsi="Calibri" w:cs="Calibri"/>
                <w:sz w:val="20"/>
                <w:szCs w:val="16"/>
                <w:lang w:val="en-GB"/>
              </w:rPr>
              <w:t>.</w:t>
            </w:r>
          </w:p>
          <w:p w14:paraId="51828D9B" w14:textId="426573DB" w:rsidR="00B56F74" w:rsidRPr="00E16334" w:rsidRDefault="00B56F74" w:rsidP="008E06F7">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An additional source of confounding is represented by the different available methods of measurement. </w:t>
            </w:r>
          </w:p>
        </w:tc>
      </w:tr>
      <w:tr w:rsidR="000F41CF" w:rsidRPr="00E16334"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E16334"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lastRenderedPageBreak/>
              <w:t>Values</w:t>
            </w:r>
          </w:p>
          <w:p w14:paraId="606E8294" w14:textId="77777777" w:rsidR="000F41CF" w:rsidRPr="00E16334"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0F41CF" w:rsidRPr="00E16334"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E16334" w:rsidRDefault="000F41CF" w:rsidP="000F41CF">
            <w:pPr>
              <w:divId w:val="211801333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Important uncertainty or variability</w:t>
            </w:r>
            <w:r w:rsidRPr="00E16334">
              <w:rPr>
                <w:rFonts w:ascii="Calibri" w:eastAsia="Times New Roman" w:hAnsi="Calibri" w:cs="Calibri"/>
                <w:sz w:val="20"/>
                <w:szCs w:val="16"/>
                <w:lang w:val="en-GB"/>
              </w:rPr>
              <w:br/>
            </w:r>
            <w:r w:rsidR="005F2DE2"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Possibly important uncertainty or variability</w:t>
            </w:r>
            <w:r w:rsidRPr="00E16334">
              <w:rPr>
                <w:rFonts w:ascii="Calibri" w:eastAsia="Times New Roman" w:hAnsi="Calibri" w:cs="Calibri"/>
                <w:sz w:val="20"/>
                <w:szCs w:val="16"/>
                <w:lang w:val="en-GB"/>
              </w:rPr>
              <w:br/>
            </w:r>
            <w:r w:rsidR="005F2DE2"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 important uncertainty or variability</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important uncertainty or variability</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E16334" w:rsidRDefault="0000361A" w:rsidP="0000361A">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N</w:t>
            </w:r>
            <w:r w:rsidR="000F41CF" w:rsidRPr="00E16334">
              <w:rPr>
                <w:rFonts w:ascii="Calibri" w:eastAsia="Times New Roman" w:hAnsi="Calibri" w:cs="Calibri"/>
                <w:sz w:val="20"/>
                <w:szCs w:val="16"/>
                <w:lang w:val="en-GB"/>
              </w:rPr>
              <w:t xml:space="preserve">eurologic outcome </w:t>
            </w:r>
            <w:r w:rsidRPr="00E16334">
              <w:rPr>
                <w:rFonts w:ascii="Calibri" w:eastAsia="Times New Roman" w:hAnsi="Calibri" w:cs="Calibri"/>
                <w:sz w:val="20"/>
                <w:szCs w:val="16"/>
                <w:lang w:val="en-GB"/>
              </w:rPr>
              <w:t xml:space="preserve">is </w:t>
            </w:r>
            <w:r w:rsidR="000F41CF" w:rsidRPr="00E16334">
              <w:rPr>
                <w:rFonts w:ascii="Calibri" w:eastAsia="Times New Roman" w:hAnsi="Calibri" w:cs="Calibri"/>
                <w:sz w:val="20"/>
                <w:szCs w:val="16"/>
                <w:lang w:val="en-GB"/>
              </w:rPr>
              <w:t xml:space="preserve">generally accepted as </w:t>
            </w:r>
            <w:r w:rsidRPr="00E16334">
              <w:rPr>
                <w:rFonts w:ascii="Calibri" w:eastAsia="Times New Roman" w:hAnsi="Calibri" w:cs="Calibri"/>
                <w:sz w:val="20"/>
                <w:szCs w:val="16"/>
                <w:lang w:val="en-GB"/>
              </w:rPr>
              <w:t>a critical outcome after cardiac arrest</w:t>
            </w:r>
            <w:r w:rsidR="000F41CF" w:rsidRPr="00E16334">
              <w:rPr>
                <w:rFonts w:ascii="Calibri" w:eastAsia="Times New Roman" w:hAnsi="Calibri" w:cs="Calibri"/>
                <w:sz w:val="20"/>
                <w:szCs w:val="16"/>
                <w:lang w:val="en-GB"/>
              </w:rPr>
              <w:t>.</w:t>
            </w:r>
            <w:r w:rsidR="005F2DE2" w:rsidRPr="00E16334">
              <w:rPr>
                <w:rFonts w:ascii="Calibri" w:eastAsia="Times New Roman" w:hAnsi="Calibri" w:cs="Calibri"/>
                <w:sz w:val="20"/>
                <w:szCs w:val="16"/>
                <w:lang w:val="en-GB"/>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E16334">
              <w:rPr>
                <w:rFonts w:ascii="Calibri" w:eastAsia="Times New Roman" w:hAnsi="Calibri" w:cs="Calibri"/>
                <w:sz w:val="20"/>
                <w:szCs w:val="16"/>
                <w:lang w:val="en-GB"/>
              </w:rPr>
              <w:t xml:space="preserve">instead. </w:t>
            </w:r>
          </w:p>
          <w:p w14:paraId="51AAE47B" w14:textId="4268E127" w:rsidR="000752BE" w:rsidRPr="00E16334" w:rsidRDefault="000752BE" w:rsidP="005D5D27">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We defined prediction as imprecise when the upper limit of 95% confidence intervals (CIs) for false positive rate </w:t>
            </w:r>
            <w:r w:rsidR="00494440" w:rsidRPr="00E16334">
              <w:rPr>
                <w:rFonts w:ascii="Calibri" w:eastAsia="Times New Roman" w:hAnsi="Calibri" w:cs="Calibri"/>
                <w:sz w:val="20"/>
                <w:szCs w:val="16"/>
                <w:lang w:val="en-GB"/>
              </w:rPr>
              <w:t xml:space="preserve">(FPR) </w:t>
            </w:r>
            <w:r w:rsidRPr="00E16334">
              <w:rPr>
                <w:rFonts w:ascii="Calibri" w:eastAsia="Times New Roman" w:hAnsi="Calibri" w:cs="Calibri"/>
                <w:sz w:val="20"/>
                <w:szCs w:val="16"/>
                <w:lang w:val="en-GB"/>
              </w:rPr>
              <w:t xml:space="preserve">was above 5%.  However, there is no universal consensus on what </w:t>
            </w:r>
            <w:r w:rsidR="00A7377E" w:rsidRPr="00E16334">
              <w:rPr>
                <w:rFonts w:ascii="Calibri" w:eastAsia="Times New Roman" w:hAnsi="Calibri" w:cs="Calibri"/>
                <w:sz w:val="20"/>
                <w:szCs w:val="16"/>
                <w:lang w:val="en-GB"/>
              </w:rPr>
              <w:t>the acceptable</w:t>
            </w:r>
            <w:r w:rsidRPr="00E16334">
              <w:rPr>
                <w:rFonts w:ascii="Calibri" w:eastAsia="Times New Roman" w:hAnsi="Calibri" w:cs="Calibri"/>
                <w:sz w:val="20"/>
                <w:szCs w:val="16"/>
                <w:lang w:val="en-GB"/>
              </w:rPr>
              <w:t xml:space="preserve"> limits </w:t>
            </w:r>
            <w:r w:rsidR="00A7377E" w:rsidRPr="00E16334">
              <w:rPr>
                <w:rFonts w:ascii="Calibri" w:eastAsia="Times New Roman" w:hAnsi="Calibri" w:cs="Calibri"/>
                <w:sz w:val="20"/>
                <w:szCs w:val="16"/>
                <w:lang w:val="en-GB"/>
              </w:rPr>
              <w:t xml:space="preserve">for imprecision </w:t>
            </w:r>
            <w:r w:rsidRPr="00E16334">
              <w:rPr>
                <w:rFonts w:ascii="Calibri" w:eastAsia="Times New Roman" w:hAnsi="Calibri" w:cs="Calibri"/>
                <w:sz w:val="20"/>
                <w:szCs w:val="16"/>
                <w:lang w:val="en-GB"/>
              </w:rPr>
              <w:t xml:space="preserve">should be.  </w:t>
            </w:r>
            <w:r w:rsidR="00660C41" w:rsidRPr="00E16334">
              <w:rPr>
                <w:rFonts w:ascii="Calibri" w:eastAsia="Times New Roman" w:hAnsi="Calibri" w:cs="Calibri"/>
                <w:sz w:val="20"/>
                <w:szCs w:val="16"/>
                <w:lang w:val="en-GB"/>
              </w:rPr>
              <w:t>A recent survey (Steinberg 2019</w:t>
            </w:r>
            <w:r w:rsidR="005D5D27">
              <w:rPr>
                <w:rFonts w:ascii="Calibri" w:eastAsia="Times New Roman" w:hAnsi="Calibri" w:cs="Calibri"/>
                <w:sz w:val="20"/>
                <w:szCs w:val="16"/>
                <w:lang w:val="en-GB"/>
              </w:rPr>
              <w:t xml:space="preserve"> 190</w:t>
            </w:r>
            <w:r w:rsidR="00660C41" w:rsidRPr="00E16334">
              <w:rPr>
                <w:rFonts w:ascii="Calibri" w:eastAsia="Times New Roman" w:hAnsi="Calibri" w:cs="Calibri"/>
                <w:sz w:val="20"/>
                <w:szCs w:val="16"/>
                <w:lang w:val="en-GB"/>
              </w:rPr>
              <w:t xml:space="preserve">) </w:t>
            </w:r>
            <w:r w:rsidR="00494440" w:rsidRPr="00E16334">
              <w:rPr>
                <w:rFonts w:ascii="Calibri" w:eastAsia="Times New Roman" w:hAnsi="Calibri" w:cs="Calibri"/>
                <w:sz w:val="20"/>
                <w:szCs w:val="16"/>
                <w:lang w:val="en-GB"/>
              </w:rPr>
              <w:t xml:space="preserve">among 640 medical providers </w:t>
            </w:r>
            <w:r w:rsidR="00660C41" w:rsidRPr="00E16334">
              <w:rPr>
                <w:rFonts w:ascii="Calibri" w:eastAsia="Times New Roman" w:hAnsi="Calibri" w:cs="Calibri"/>
                <w:sz w:val="20"/>
                <w:szCs w:val="16"/>
                <w:lang w:val="en-GB"/>
              </w:rPr>
              <w:t xml:space="preserve">showed that </w:t>
            </w:r>
            <w:r w:rsidR="00494440" w:rsidRPr="00E16334">
              <w:rPr>
                <w:rFonts w:ascii="Calibri" w:eastAsia="Times New Roman" w:hAnsi="Calibri" w:cs="Calibri"/>
                <w:sz w:val="20"/>
                <w:szCs w:val="16"/>
                <w:lang w:val="en-GB"/>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E16334" w:rsidRDefault="000F41CF" w:rsidP="000F41CF">
            <w:pPr>
              <w:divId w:val="1312325065"/>
              <w:rPr>
                <w:rFonts w:ascii="Calibri" w:eastAsia="Times New Roman" w:hAnsi="Calibri" w:cs="Calibri"/>
                <w:sz w:val="20"/>
                <w:szCs w:val="16"/>
                <w:lang w:val="en-GB"/>
              </w:rPr>
            </w:pPr>
          </w:p>
        </w:tc>
      </w:tr>
      <w:tr w:rsidR="000F41CF" w:rsidRPr="00E16334"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E16334"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0F41CF" w:rsidRPr="00E16334"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Does the balance between desirable and undesirable effects favor the intervention or the comparison?</w:t>
            </w:r>
          </w:p>
        </w:tc>
      </w:tr>
      <w:tr w:rsidR="000F41CF" w:rsidRPr="00E16334"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6F375029" w:rsidR="000F41CF" w:rsidRPr="00E16334" w:rsidRDefault="000F41CF" w:rsidP="000F41CF">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Favors the comparison</w:t>
            </w:r>
            <w:r w:rsidRPr="00E16334">
              <w:rPr>
                <w:rFonts w:ascii="Calibri" w:eastAsia="Times New Roman" w:hAnsi="Calibri" w:cs="Calibri"/>
                <w:sz w:val="20"/>
                <w:szCs w:val="16"/>
                <w:lang w:val="en-GB"/>
              </w:rPr>
              <w:br/>
            </w:r>
            <w:r w:rsidR="00363A75"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favors the comparison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Does not favor either the intervention or the comparison</w:t>
            </w:r>
            <w:r w:rsidRPr="00E16334">
              <w:rPr>
                <w:rFonts w:ascii="Calibri" w:eastAsia="Times New Roman" w:hAnsi="Calibri" w:cs="Calibri"/>
                <w:sz w:val="20"/>
                <w:szCs w:val="16"/>
                <w:lang w:val="en-GB"/>
              </w:rPr>
              <w:br/>
            </w:r>
            <w:r w:rsidR="00363A75" w:rsidRPr="00E16334">
              <w:rPr>
                <w:rStyle w:val="checked-marker"/>
                <w:rFonts w:ascii="Calibri" w:eastAsia="Times New Roman" w:hAnsi="Calibri" w:cs="Calibri"/>
                <w:sz w:val="20"/>
                <w:szCs w:val="16"/>
                <w:lang w:val="en-GB"/>
              </w:rPr>
              <w:t>●</w:t>
            </w:r>
            <w:r w:rsidR="00F4626A"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Favors the intervention</w:t>
            </w:r>
            <w:r w:rsidRPr="00E16334">
              <w:rPr>
                <w:rFonts w:ascii="Calibri" w:eastAsia="Times New Roman" w:hAnsi="Calibri" w:cs="Calibri"/>
                <w:sz w:val="20"/>
                <w:szCs w:val="16"/>
                <w:lang w:val="en-GB"/>
              </w:rPr>
              <w:br/>
            </w:r>
            <w:r w:rsidR="00F4626A"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1E3CD353" w:rsidR="000F41CF" w:rsidRPr="00E16334" w:rsidRDefault="00F4626A" w:rsidP="000F41CF">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Considering the </w:t>
            </w:r>
            <w:r w:rsidR="00C96548" w:rsidRPr="00E16334">
              <w:rPr>
                <w:rFonts w:ascii="Calibri" w:eastAsia="Times New Roman" w:hAnsi="Calibri" w:cs="Calibri"/>
                <w:sz w:val="20"/>
                <w:szCs w:val="16"/>
                <w:lang w:val="en-GB"/>
              </w:rPr>
              <w:t xml:space="preserve">high specificity of </w:t>
            </w:r>
            <w:r w:rsidR="00B56F74" w:rsidRPr="00E16334">
              <w:rPr>
                <w:rFonts w:ascii="Calibri" w:eastAsia="Times New Roman" w:hAnsi="Calibri" w:cs="Calibri"/>
                <w:sz w:val="20"/>
                <w:szCs w:val="16"/>
                <w:lang w:val="en-GB"/>
              </w:rPr>
              <w:t>NSE</w:t>
            </w:r>
            <w:r w:rsidRPr="00E16334">
              <w:rPr>
                <w:rFonts w:ascii="Calibri" w:eastAsia="Times New Roman" w:hAnsi="Calibri" w:cs="Calibri"/>
                <w:sz w:val="20"/>
                <w:szCs w:val="16"/>
                <w:lang w:val="en-GB"/>
              </w:rPr>
              <w:t xml:space="preserve">, the </w:t>
            </w:r>
            <w:r w:rsidR="000F41CF" w:rsidRPr="00E16334">
              <w:rPr>
                <w:rFonts w:ascii="Calibri" w:eastAsia="Times New Roman" w:hAnsi="Calibri" w:cs="Calibri"/>
                <w:sz w:val="20"/>
                <w:szCs w:val="16"/>
                <w:lang w:val="en-GB"/>
              </w:rPr>
              <w:t>balance of effects favo</w:t>
            </w:r>
            <w:r w:rsidR="00FF714D">
              <w:rPr>
                <w:rFonts w:ascii="Calibri" w:eastAsia="Times New Roman" w:hAnsi="Calibri" w:cs="Calibri"/>
                <w:sz w:val="20"/>
                <w:szCs w:val="16"/>
                <w:lang w:val="en-GB"/>
              </w:rPr>
              <w:t>u</w:t>
            </w:r>
            <w:r w:rsidR="000F41CF" w:rsidRPr="00E16334">
              <w:rPr>
                <w:rFonts w:ascii="Calibri" w:eastAsia="Times New Roman" w:hAnsi="Calibri" w:cs="Calibri"/>
                <w:sz w:val="20"/>
                <w:szCs w:val="16"/>
                <w:lang w:val="en-GB"/>
              </w:rPr>
              <w:t>rs</w:t>
            </w:r>
            <w:r w:rsidR="00E158DE" w:rsidRPr="00E16334">
              <w:rPr>
                <w:rFonts w:ascii="Calibri" w:eastAsia="Times New Roman" w:hAnsi="Calibri" w:cs="Calibri"/>
                <w:sz w:val="20"/>
                <w:szCs w:val="16"/>
                <w:lang w:val="en-GB"/>
              </w:rPr>
              <w:t xml:space="preserve"> the </w:t>
            </w:r>
            <w:r w:rsidRPr="00E16334">
              <w:rPr>
                <w:rFonts w:ascii="Calibri" w:eastAsia="Times New Roman" w:hAnsi="Calibri" w:cs="Calibri"/>
                <w:sz w:val="20"/>
                <w:szCs w:val="16"/>
                <w:lang w:val="en-GB"/>
              </w:rPr>
              <w:t>predictor</w:t>
            </w:r>
            <w:r w:rsidR="003E7CE0" w:rsidRPr="00E16334">
              <w:rPr>
                <w:rFonts w:ascii="Calibri" w:eastAsia="Times New Roman" w:hAnsi="Calibri" w:cs="Calibri"/>
                <w:sz w:val="20"/>
                <w:szCs w:val="16"/>
                <w:lang w:val="en-GB"/>
              </w:rPr>
              <w:t>.</w:t>
            </w:r>
          </w:p>
          <w:p w14:paraId="6F2F8CA2" w14:textId="77777777" w:rsidR="000F41CF" w:rsidRPr="00E16334" w:rsidRDefault="000F41CF" w:rsidP="000F41CF">
            <w:pPr>
              <w:rPr>
                <w:rFonts w:ascii="Calibri" w:eastAsia="Times New Roman" w:hAnsi="Calibri" w:cs="Calibri"/>
                <w:sz w:val="20"/>
                <w:szCs w:val="16"/>
                <w:lang w:val="en-GB"/>
              </w:rPr>
            </w:pPr>
          </w:p>
          <w:p w14:paraId="0E330B15" w14:textId="77777777" w:rsidR="000F41CF" w:rsidRPr="00E16334" w:rsidRDefault="000F41CF" w:rsidP="000F41CF">
            <w:pPr>
              <w:rPr>
                <w:rFonts w:ascii="Calibri" w:eastAsia="Times New Roman" w:hAnsi="Calibri" w:cs="Calibri"/>
                <w:sz w:val="20"/>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44AE904B" w:rsidR="000F41CF" w:rsidRPr="007812DD" w:rsidRDefault="000F41CF" w:rsidP="00384649">
            <w:pPr>
              <w:divId w:val="1321084420"/>
              <w:rPr>
                <w:rFonts w:ascii="Calibri" w:eastAsia="Times New Roman" w:hAnsi="Calibri" w:cs="Calibri"/>
                <w:b/>
                <w:sz w:val="20"/>
                <w:szCs w:val="16"/>
                <w:lang w:val="en-GB"/>
              </w:rPr>
            </w:pPr>
          </w:p>
        </w:tc>
      </w:tr>
      <w:tr w:rsidR="000F41CF" w:rsidRPr="00E16334"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E16334"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0F41CF" w:rsidRPr="00E16334"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0F41CF" w:rsidRPr="00E16334"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00C13589" w14:textId="77777777" w:rsidTr="00916446">
        <w:trPr>
          <w:divId w:val="1347438940"/>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1BB63679" w:rsidR="00085851" w:rsidRPr="00E16334" w:rsidRDefault="000F41CF" w:rsidP="00085851">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00842E96"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00085851"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28CB5630" w:rsidR="000F41CF" w:rsidRPr="00E16334" w:rsidRDefault="00842E96" w:rsidP="0094121A">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2D7F5E"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3694080C" w:rsidR="000F41CF" w:rsidRPr="00E16334" w:rsidRDefault="00B56F74" w:rsidP="00842E96">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w:t>
            </w:r>
            <w:r w:rsidR="00842E96" w:rsidRPr="00E16334">
              <w:rPr>
                <w:rFonts w:ascii="Calibri" w:eastAsia="Times New Roman" w:hAnsi="Calibri" w:cs="Calibri"/>
                <w:sz w:val="20"/>
                <w:szCs w:val="16"/>
                <w:lang w:val="en-GB"/>
              </w:rPr>
              <w:t xml:space="preserve">costs </w:t>
            </w:r>
            <w:r w:rsidRPr="00E16334">
              <w:rPr>
                <w:rFonts w:ascii="Calibri" w:eastAsia="Times New Roman" w:hAnsi="Calibri" w:cs="Calibri"/>
                <w:sz w:val="20"/>
                <w:szCs w:val="16"/>
                <w:lang w:val="en-GB"/>
              </w:rPr>
              <w:t xml:space="preserve">of biomarkers’ assessment are higher when compared with those of clinical examination. </w:t>
            </w:r>
            <w:r w:rsidR="00842E96" w:rsidRPr="00E16334">
              <w:rPr>
                <w:rFonts w:ascii="Calibri" w:eastAsia="Times New Roman" w:hAnsi="Calibri" w:cs="Calibri"/>
                <w:sz w:val="20"/>
                <w:szCs w:val="16"/>
                <w:lang w:val="en-GB"/>
              </w:rPr>
              <w:t>N</w:t>
            </w:r>
            <w:r w:rsidR="0094121A" w:rsidRPr="00E16334">
              <w:rPr>
                <w:rFonts w:ascii="Calibri" w:eastAsia="Times New Roman" w:hAnsi="Calibri" w:cs="Calibri"/>
                <w:sz w:val="20"/>
                <w:szCs w:val="16"/>
                <w:lang w:val="en-GB"/>
              </w:rPr>
              <w:t xml:space="preserve">o study assessing savings from prognostication based on </w:t>
            </w:r>
            <w:r w:rsidR="00842E96" w:rsidRPr="00E16334">
              <w:rPr>
                <w:rFonts w:ascii="Calibri" w:eastAsia="Times New Roman" w:hAnsi="Calibri" w:cs="Calibri"/>
                <w:sz w:val="20"/>
                <w:szCs w:val="16"/>
                <w:lang w:val="en-GB"/>
              </w:rPr>
              <w:t xml:space="preserve">NSE </w:t>
            </w:r>
            <w:r w:rsidR="0094121A" w:rsidRPr="00E16334">
              <w:rPr>
                <w:rFonts w:ascii="Calibri" w:eastAsia="Times New Roman" w:hAnsi="Calibri" w:cs="Calibri"/>
                <w:sz w:val="20"/>
                <w:szCs w:val="16"/>
                <w:lang w:val="en-GB"/>
              </w:rPr>
              <w:t>has been included in our review</w:t>
            </w:r>
            <w:r w:rsidR="00515153">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E16334" w:rsidRDefault="000F41CF" w:rsidP="000F41CF">
            <w:pPr>
              <w:divId w:val="509099511"/>
              <w:rPr>
                <w:rFonts w:ascii="Calibri" w:eastAsia="Times New Roman" w:hAnsi="Calibri" w:cs="Calibri"/>
                <w:sz w:val="20"/>
                <w:szCs w:val="16"/>
                <w:lang w:val="en-GB"/>
              </w:rPr>
            </w:pPr>
          </w:p>
        </w:tc>
      </w:tr>
      <w:tr w:rsidR="000F41CF" w:rsidRPr="00E16334"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E16334"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0F41CF" w:rsidRPr="00E16334"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0F41CF" w:rsidRPr="00E16334"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16334" w:rsidRDefault="000F41CF" w:rsidP="000F41CF">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18A6E554" w:rsidR="000F41CF" w:rsidRPr="00E16334" w:rsidRDefault="000F41CF" w:rsidP="00842E96">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w:t>
            </w:r>
            <w:r w:rsidR="002D7F5E" w:rsidRPr="00E16334">
              <w:rPr>
                <w:rFonts w:ascii="Calibri" w:eastAsia="Times New Roman" w:hAnsi="Calibri" w:cs="Calibri"/>
                <w:sz w:val="18"/>
                <w:szCs w:val="16"/>
                <w:lang w:val="en-GB"/>
              </w:rPr>
              <w:t xml:space="preserve">assessing </w:t>
            </w:r>
            <w:r w:rsidRPr="00E16334">
              <w:rPr>
                <w:rFonts w:ascii="Calibri" w:eastAsia="Times New Roman" w:hAnsi="Calibri" w:cs="Calibri"/>
                <w:sz w:val="18"/>
                <w:szCs w:val="16"/>
                <w:lang w:val="en-GB"/>
              </w:rPr>
              <w:t xml:space="preserve">costs </w:t>
            </w:r>
            <w:r w:rsidR="002D7F5E" w:rsidRPr="00E16334">
              <w:rPr>
                <w:rFonts w:ascii="Calibri" w:eastAsia="Times New Roman" w:hAnsi="Calibri" w:cs="Calibri"/>
                <w:sz w:val="18"/>
                <w:szCs w:val="16"/>
                <w:lang w:val="en-GB"/>
              </w:rPr>
              <w:t xml:space="preserve">of </w:t>
            </w:r>
            <w:r w:rsidR="00842E96" w:rsidRPr="00E16334">
              <w:rPr>
                <w:rFonts w:ascii="Calibri" w:eastAsia="Times New Roman" w:hAnsi="Calibri" w:cs="Calibri"/>
                <w:sz w:val="18"/>
                <w:szCs w:val="16"/>
                <w:lang w:val="en-GB"/>
              </w:rPr>
              <w:t>NSE for prognostication after cardiac arrest</w:t>
            </w:r>
            <w:r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16334" w:rsidRDefault="000F41CF" w:rsidP="000F41CF">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E16334"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0F41CF" w:rsidRPr="00E16334"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Does the cost-effectiveness of the intervention favor the intervention or the comparison?</w:t>
            </w:r>
          </w:p>
        </w:tc>
      </w:tr>
      <w:tr w:rsidR="000F41CF" w:rsidRPr="00E16334"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16334" w:rsidRDefault="000F41CF" w:rsidP="00ED38E6">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Does not favor either the intervention or the comparison</w:t>
            </w:r>
            <w:r w:rsidRPr="00E16334">
              <w:rPr>
                <w:rFonts w:ascii="Calibri" w:eastAsia="Times New Roman" w:hAnsi="Calibri" w:cs="Calibri"/>
                <w:sz w:val="18"/>
                <w:szCs w:val="16"/>
                <w:lang w:val="en-GB"/>
              </w:rPr>
              <w:br/>
            </w:r>
            <w:r w:rsidR="00916446" w:rsidRPr="00E16334">
              <w:rPr>
                <w:rStyle w:val="unchecked-marker"/>
                <w:rFonts w:ascii="Calibri" w:eastAsia="Times New Roman" w:hAnsi="Calibri" w:cs="Calibri"/>
                <w:sz w:val="18"/>
                <w:szCs w:val="16"/>
                <w:lang w:val="en-GB"/>
              </w:rPr>
              <w:t>○</w:t>
            </w:r>
            <w:r w:rsidR="00ED38E6"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00916446"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16334" w:rsidRDefault="000F41CF" w:rsidP="002D7F5E">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t>We did not identify any studies addressing cost-effectiveness</w:t>
            </w:r>
            <w:r w:rsidR="002D7F5E" w:rsidRPr="00E16334">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16334" w:rsidRDefault="000F41CF" w:rsidP="000F41CF">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E16334"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0F41CF" w:rsidRPr="00E16334"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0F41CF" w:rsidRPr="00E16334"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2E91C060" w:rsidR="00E70057" w:rsidRPr="00E16334" w:rsidRDefault="000F41CF"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lastRenderedPageBreak/>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00FF714D" w:rsidRPr="00E16334">
              <w:rPr>
                <w:rStyle w:val="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48A87ABF" w:rsidR="00E70057" w:rsidRPr="00E16334" w:rsidRDefault="00E70057" w:rsidP="00E70057">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Probably no impact</w:t>
            </w:r>
            <w:r w:rsidR="000F41CF" w:rsidRPr="00E16334">
              <w:rPr>
                <w:rFonts w:ascii="Calibri" w:eastAsia="Times New Roman" w:hAnsi="Calibri" w:cs="Calibri"/>
                <w:sz w:val="18"/>
                <w:szCs w:val="16"/>
                <w:lang w:val="en-GB"/>
              </w:rPr>
              <w:br/>
            </w:r>
            <w:r w:rsidR="00FF714D" w:rsidRPr="00E16334">
              <w:rPr>
                <w:rStyle w:val="un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Probably 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Varies</w:t>
            </w:r>
          </w:p>
          <w:p w14:paraId="00CA4CBB" w14:textId="0655A651" w:rsidR="000F41CF" w:rsidRPr="00E16334" w:rsidRDefault="00E70057"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Don't know</w:t>
            </w:r>
            <w:r w:rsidR="000F41CF" w:rsidRPr="00E16334">
              <w:rPr>
                <w:rFonts w:ascii="Calibri" w:eastAsia="Times New Roman" w:hAnsi="Calibri" w:cs="Calibri"/>
                <w:sz w:val="18"/>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5EE118F9" w:rsidR="000F41CF" w:rsidRPr="00E16334" w:rsidRDefault="00E70057" w:rsidP="00E70057">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t>A</w:t>
            </w:r>
            <w:r w:rsidR="002D7F5E" w:rsidRPr="00E16334">
              <w:rPr>
                <w:rFonts w:ascii="Calibri" w:eastAsia="Times New Roman" w:hAnsi="Calibri" w:cs="Calibri"/>
                <w:sz w:val="18"/>
                <w:szCs w:val="16"/>
                <w:lang w:val="en-GB"/>
              </w:rPr>
              <w:t xml:space="preserve"> problem of</w:t>
            </w:r>
            <w:r w:rsidR="00B74C67" w:rsidRPr="00E16334">
              <w:rPr>
                <w:rFonts w:ascii="Calibri" w:eastAsia="Times New Roman" w:hAnsi="Calibri" w:cs="Calibri"/>
                <w:sz w:val="18"/>
                <w:szCs w:val="16"/>
                <w:lang w:val="en-GB"/>
              </w:rPr>
              <w:t xml:space="preserve"> inequity</w:t>
            </w:r>
            <w:r w:rsidR="002D7F5E" w:rsidRPr="00E16334">
              <w:rPr>
                <w:rFonts w:ascii="Calibri" w:eastAsia="Times New Roman" w:hAnsi="Calibri" w:cs="Calibri"/>
                <w:sz w:val="18"/>
                <w:szCs w:val="16"/>
                <w:lang w:val="en-GB"/>
              </w:rPr>
              <w:t xml:space="preserve"> is </w:t>
            </w:r>
            <w:r w:rsidRPr="00E16334">
              <w:rPr>
                <w:rFonts w:ascii="Calibri" w:eastAsia="Times New Roman" w:hAnsi="Calibri" w:cs="Calibri"/>
                <w:sz w:val="18"/>
                <w:szCs w:val="16"/>
                <w:lang w:val="en-GB"/>
              </w:rPr>
              <w:t>possible, since assessment of biomarkers implies resources that cannot be universally available</w:t>
            </w:r>
            <w:r w:rsidR="000F41CF"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16334" w:rsidRDefault="000F41CF" w:rsidP="000F41CF">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E16334"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0F41CF" w:rsidRPr="00E16334"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0F41CF" w:rsidRPr="00E16334"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16334" w:rsidRDefault="000F41CF" w:rsidP="000F41CF">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2ED4635" w:rsidR="000F41CF" w:rsidRPr="00E16334" w:rsidRDefault="000F41CF" w:rsidP="000F41CF">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have not identified any </w:t>
            </w:r>
            <w:r w:rsidR="002A7E52" w:rsidRPr="00E16334">
              <w:rPr>
                <w:rFonts w:ascii="Calibri" w:eastAsia="Times New Roman" w:hAnsi="Calibri" w:cs="Calibri"/>
                <w:sz w:val="18"/>
                <w:szCs w:val="16"/>
                <w:lang w:val="en-GB"/>
              </w:rPr>
              <w:t>study</w:t>
            </w:r>
            <w:r w:rsidRPr="00E16334">
              <w:rPr>
                <w:rFonts w:ascii="Calibri" w:eastAsia="Times New Roman" w:hAnsi="Calibri" w:cs="Calibri"/>
                <w:sz w:val="18"/>
                <w:szCs w:val="16"/>
                <w:lang w:val="en-GB"/>
              </w:rPr>
              <w:t xml:space="preserve"> asses</w:t>
            </w:r>
            <w:r w:rsidR="002A7E52" w:rsidRPr="00E16334">
              <w:rPr>
                <w:rFonts w:ascii="Calibri" w:eastAsia="Times New Roman" w:hAnsi="Calibri" w:cs="Calibri"/>
                <w:sz w:val="18"/>
                <w:szCs w:val="16"/>
                <w:lang w:val="en-GB"/>
              </w:rPr>
              <w:t>sing</w:t>
            </w:r>
            <w:r w:rsidRPr="00E16334">
              <w:rPr>
                <w:rFonts w:ascii="Calibri" w:eastAsia="Times New Roman" w:hAnsi="Calibri" w:cs="Calibri"/>
                <w:sz w:val="18"/>
                <w:szCs w:val="16"/>
                <w:lang w:val="en-GB"/>
              </w:rPr>
              <w:t xml:space="preserve"> acceptability</w:t>
            </w:r>
            <w:r w:rsidR="000E1322" w:rsidRPr="00E16334">
              <w:rPr>
                <w:rFonts w:ascii="Calibri" w:eastAsia="Times New Roman" w:hAnsi="Calibri" w:cs="Calibri"/>
                <w:sz w:val="18"/>
                <w:szCs w:val="16"/>
                <w:lang w:val="en-GB"/>
              </w:rPr>
              <w:t xml:space="preserve">, but </w:t>
            </w:r>
            <w:r w:rsidR="002D7F5E" w:rsidRPr="00E16334">
              <w:rPr>
                <w:rFonts w:ascii="Calibri" w:eastAsia="Times New Roman" w:hAnsi="Calibri" w:cs="Calibri"/>
                <w:sz w:val="18"/>
                <w:szCs w:val="16"/>
                <w:lang w:val="en-GB"/>
              </w:rPr>
              <w:t>acceptability is likely</w:t>
            </w:r>
            <w:r w:rsidRPr="00E16334">
              <w:rPr>
                <w:rFonts w:ascii="Calibri" w:eastAsia="Times New Roman" w:hAnsi="Calibri" w:cs="Calibri"/>
                <w:sz w:val="18"/>
                <w:szCs w:val="16"/>
                <w:lang w:val="en-GB"/>
              </w:rPr>
              <w:t>.</w:t>
            </w:r>
          </w:p>
          <w:p w14:paraId="3AD83346" w14:textId="77777777" w:rsidR="000F41CF" w:rsidRPr="00E16334" w:rsidRDefault="000F41CF" w:rsidP="000F41CF">
            <w:pPr>
              <w:divId w:val="1397168485"/>
              <w:rPr>
                <w:rFonts w:ascii="Calibri" w:eastAsia="Times New Roman" w:hAnsi="Calibri" w:cs="Calibri"/>
                <w:sz w:val="18"/>
                <w:szCs w:val="16"/>
                <w:lang w:val="en-GB"/>
              </w:rPr>
            </w:pPr>
          </w:p>
          <w:p w14:paraId="1333C6E5" w14:textId="77777777" w:rsidR="000F41CF" w:rsidRPr="00E16334"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16334" w:rsidRDefault="000F41CF" w:rsidP="000F41CF">
            <w:pPr>
              <w:divId w:val="1296640506"/>
              <w:rPr>
                <w:rFonts w:ascii="Calibri" w:eastAsia="Times New Roman" w:hAnsi="Calibri" w:cs="Calibri"/>
                <w:sz w:val="18"/>
                <w:szCs w:val="16"/>
                <w:lang w:val="en-GB"/>
              </w:rPr>
            </w:pPr>
          </w:p>
        </w:tc>
      </w:tr>
      <w:tr w:rsidR="000F41CF" w:rsidRPr="00E16334"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E16334"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0F41CF" w:rsidRPr="00E16334"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0F41CF" w:rsidRPr="00E16334"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E16334" w:rsidRDefault="000F41CF" w:rsidP="000F41CF">
            <w:pPr>
              <w:divId w:val="205928128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1E48BFD5" w:rsidR="000F41CF" w:rsidRPr="00E16334" w:rsidRDefault="00BB76CA" w:rsidP="00384649">
            <w:pPr>
              <w:divId w:val="177352821"/>
              <w:rPr>
                <w:rFonts w:ascii="Calibri" w:eastAsia="Times New Roman" w:hAnsi="Calibri" w:cs="Calibri"/>
                <w:sz w:val="20"/>
                <w:szCs w:val="16"/>
                <w:lang w:val="en-GB"/>
              </w:rPr>
            </w:pPr>
            <w:r w:rsidRPr="00E16334">
              <w:rPr>
                <w:rFonts w:ascii="Calibri" w:eastAsia="Times New Roman" w:hAnsi="Calibri" w:cs="Calibri"/>
                <w:sz w:val="20"/>
                <w:szCs w:val="16"/>
                <w:lang w:val="en-GB"/>
              </w:rPr>
              <w:t>F</w:t>
            </w:r>
            <w:r w:rsidR="000F41CF" w:rsidRPr="00E16334">
              <w:rPr>
                <w:rFonts w:ascii="Calibri" w:eastAsia="Times New Roman" w:hAnsi="Calibri" w:cs="Calibri"/>
                <w:sz w:val="20"/>
                <w:szCs w:val="16"/>
                <w:lang w:val="en-GB"/>
              </w:rPr>
              <w:t xml:space="preserve">easibility was not specifically </w:t>
            </w:r>
            <w:r w:rsidR="000F41CF" w:rsidRPr="00384649">
              <w:rPr>
                <w:rFonts w:ascii="Calibri" w:eastAsia="Times New Roman" w:hAnsi="Calibri" w:cs="Calibri"/>
                <w:sz w:val="20"/>
                <w:szCs w:val="16"/>
                <w:lang w:val="en-GB"/>
              </w:rPr>
              <w:t xml:space="preserve">addressed </w:t>
            </w:r>
            <w:r w:rsidR="002D7F5E" w:rsidRPr="00384649">
              <w:rPr>
                <w:rFonts w:ascii="Calibri" w:eastAsia="Times New Roman" w:hAnsi="Calibri" w:cs="Calibri"/>
                <w:sz w:val="20"/>
                <w:szCs w:val="16"/>
                <w:lang w:val="en-GB"/>
              </w:rPr>
              <w:t>in any of the studies included in this review</w:t>
            </w:r>
            <w:r w:rsidRPr="00384649">
              <w:rPr>
                <w:rFonts w:ascii="Calibri" w:eastAsia="Times New Roman" w:hAnsi="Calibri" w:cs="Calibri"/>
                <w:sz w:val="20"/>
                <w:szCs w:val="16"/>
                <w:lang w:val="en-GB"/>
              </w:rPr>
              <w:t xml:space="preserve">. Assessment of biomarkers requires resources that may not be universally available. However, NSE is </w:t>
            </w:r>
            <w:r w:rsidR="00C33E34" w:rsidRPr="00384649">
              <w:rPr>
                <w:rFonts w:ascii="Calibri" w:eastAsia="Times New Roman" w:hAnsi="Calibri" w:cs="Calibri"/>
                <w:sz w:val="20"/>
                <w:szCs w:val="16"/>
                <w:lang w:val="en-GB"/>
              </w:rPr>
              <w:t xml:space="preserve">routinely </w:t>
            </w:r>
            <w:r w:rsidRPr="00384649">
              <w:rPr>
                <w:rFonts w:ascii="Calibri" w:eastAsia="Times New Roman" w:hAnsi="Calibri" w:cs="Calibri"/>
                <w:sz w:val="20"/>
                <w:szCs w:val="16"/>
                <w:lang w:val="en-GB"/>
              </w:rPr>
              <w:t>measured in many hospitals and clinics as a tumo</w:t>
            </w:r>
            <w:r w:rsidR="00E16334" w:rsidRPr="00384649">
              <w:rPr>
                <w:rFonts w:ascii="Calibri" w:eastAsia="Times New Roman" w:hAnsi="Calibri" w:cs="Calibri"/>
                <w:sz w:val="20"/>
                <w:szCs w:val="16"/>
                <w:lang w:val="en-GB"/>
              </w:rPr>
              <w:t>u</w:t>
            </w:r>
            <w:r w:rsidRPr="00384649">
              <w:rPr>
                <w:rFonts w:ascii="Calibri" w:eastAsia="Times New Roman" w:hAnsi="Calibri" w:cs="Calibri"/>
                <w:sz w:val="20"/>
                <w:szCs w:val="16"/>
                <w:lang w:val="en-GB"/>
              </w:rPr>
              <w:t>r biomarker.</w:t>
            </w:r>
            <w:r w:rsidRPr="00E16334">
              <w:rPr>
                <w:rFonts w:ascii="Calibri" w:eastAsia="Times New Roman" w:hAnsi="Calibri" w:cs="Calibri"/>
                <w:sz w:val="20"/>
                <w:szCs w:val="16"/>
                <w:lang w:val="en-GB"/>
              </w:rPr>
              <w:t xml:space="preserve"> </w:t>
            </w:r>
            <w:r w:rsidR="00E16334" w:rsidRPr="00E16334">
              <w:rPr>
                <w:rFonts w:ascii="Calibri" w:eastAsia="Times New Roman" w:hAnsi="Calibri" w:cs="Calibri"/>
                <w:sz w:val="20"/>
                <w:szCs w:val="16"/>
                <w:lang w:val="en-GB"/>
              </w:rPr>
              <w:t xml:space="preserve">The </w:t>
            </w:r>
            <w:r w:rsidR="00C33E34">
              <w:rPr>
                <w:rFonts w:ascii="Calibri" w:eastAsia="Times New Roman" w:hAnsi="Calibri" w:cs="Calibri"/>
                <w:sz w:val="20"/>
                <w:szCs w:val="16"/>
                <w:lang w:val="en-GB"/>
              </w:rPr>
              <w:t xml:space="preserve">most important </w:t>
            </w:r>
            <w:r w:rsidR="00E16334" w:rsidRPr="00E16334">
              <w:rPr>
                <w:rFonts w:ascii="Calibri" w:eastAsia="Times New Roman" w:hAnsi="Calibri" w:cs="Calibri"/>
                <w:sz w:val="20"/>
                <w:szCs w:val="16"/>
                <w:lang w:val="en-GB"/>
              </w:rPr>
              <w:t xml:space="preserve">caution </w:t>
            </w:r>
            <w:r w:rsidR="00384649" w:rsidRPr="00E16334">
              <w:rPr>
                <w:rFonts w:ascii="Calibri" w:eastAsia="Times New Roman" w:hAnsi="Calibri" w:cs="Calibri"/>
                <w:sz w:val="20"/>
                <w:szCs w:val="16"/>
                <w:lang w:val="en-GB"/>
              </w:rPr>
              <w:t xml:space="preserve">required </w:t>
            </w:r>
            <w:r w:rsidR="00384649">
              <w:rPr>
                <w:rFonts w:ascii="Calibri" w:eastAsia="Times New Roman" w:hAnsi="Calibri" w:cs="Calibri"/>
                <w:sz w:val="20"/>
                <w:szCs w:val="16"/>
                <w:lang w:val="en-GB"/>
              </w:rPr>
              <w:t xml:space="preserve">during withdrawing and managing the blood sample </w:t>
            </w:r>
            <w:r w:rsidR="00E16334" w:rsidRPr="00E16334">
              <w:rPr>
                <w:rFonts w:ascii="Calibri" w:eastAsia="Times New Roman" w:hAnsi="Calibri" w:cs="Calibri"/>
                <w:sz w:val="20"/>
                <w:szCs w:val="16"/>
                <w:lang w:val="en-GB"/>
              </w:rPr>
              <w:t xml:space="preserve">is avoiding haemolysis.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16334" w:rsidRDefault="000F41CF" w:rsidP="000F41CF">
            <w:pPr>
              <w:divId w:val="585457396"/>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bl>
    <w:p w14:paraId="55352F09" w14:textId="77777777" w:rsidR="004014E6" w:rsidRDefault="004014E6" w:rsidP="00D65A05">
      <w:pPr>
        <w:pStyle w:val="Heading1"/>
        <w:spacing w:after="20" w:afterAutospacing="0"/>
        <w:divId w:val="1023363082"/>
        <w:rPr>
          <w:rFonts w:ascii="Calibri" w:hAnsi="Calibri" w:cs="Calibri"/>
          <w:caps/>
          <w:color w:val="000000"/>
          <w:sz w:val="30"/>
          <w:szCs w:val="30"/>
          <w:lang w:val="en-GB"/>
        </w:rPr>
      </w:pPr>
    </w:p>
    <w:p w14:paraId="456EB24A" w14:textId="77777777" w:rsidR="004014E6" w:rsidRDefault="004014E6">
      <w:pPr>
        <w:rPr>
          <w:rFonts w:ascii="Calibri" w:hAnsi="Calibri" w:cs="Calibri"/>
          <w:b/>
          <w:bCs/>
          <w:caps/>
          <w:color w:val="000000"/>
          <w:kern w:val="36"/>
          <w:sz w:val="30"/>
          <w:szCs w:val="30"/>
          <w:lang w:val="en-GB"/>
        </w:rPr>
      </w:pPr>
      <w:r>
        <w:rPr>
          <w:rFonts w:ascii="Calibri" w:hAnsi="Calibri" w:cs="Calibri"/>
          <w:caps/>
          <w:color w:val="000000"/>
          <w:sz w:val="30"/>
          <w:szCs w:val="30"/>
          <w:lang w:val="en-GB"/>
        </w:rPr>
        <w:br w:type="page"/>
      </w:r>
    </w:p>
    <w:p w14:paraId="513488CF" w14:textId="745A40A3"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D65A05" w:rsidRPr="00E16334"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E16334"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E16334">
              <w:rPr>
                <w:rFonts w:ascii="Calibri" w:hAnsi="Calibri" w:cs="Calibri"/>
                <w:b/>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Don't know</w:t>
            </w:r>
          </w:p>
        </w:tc>
      </w:tr>
      <w:tr w:rsidR="00D65A05" w:rsidRPr="00E16334"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F7313F">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F7313F"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F7313F">
              <w:rPr>
                <w:rFonts w:ascii="Calibri" w:hAnsi="Calibri" w:cs="Calibri"/>
                <w:color w:val="A6A6A6" w:themeColor="background1" w:themeShade="A6"/>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E16334" w:rsidRDefault="00D65A05">
            <w:pPr>
              <w:pStyle w:val="NormalWeb"/>
              <w:spacing w:before="0" w:beforeAutospacing="0" w:after="0" w:afterAutospacing="0" w:line="256" w:lineRule="auto"/>
              <w:jc w:val="center"/>
              <w:rPr>
                <w:rFonts w:ascii="Calibri" w:hAnsi="Calibri" w:cs="Calibri"/>
                <w:bCs/>
                <w:color w:val="000000"/>
                <w:sz w:val="16"/>
                <w:szCs w:val="16"/>
                <w:lang w:val="en-GB"/>
              </w:rPr>
            </w:pPr>
            <w:r w:rsidRPr="00E16334">
              <w:rPr>
                <w:rFonts w:ascii="Calibri" w:hAnsi="Calibri" w:cs="Calibri"/>
                <w:bCs/>
                <w:color w:val="000000"/>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sz w:val="16"/>
                <w:szCs w:val="16"/>
                <w:lang w:val="en-GB"/>
              </w:rPr>
              <w:t>Don't know</w:t>
            </w:r>
          </w:p>
        </w:tc>
      </w:tr>
      <w:tr w:rsidR="00D65A05" w:rsidRPr="00E16334"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C33E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C33E34">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C33E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C33E34">
              <w:rPr>
                <w:rFonts w:ascii="Calibri" w:hAnsi="Calibri" w:cs="Calibri"/>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pPr>
        <w:pStyle w:val="Heading1"/>
        <w:spacing w:after="20" w:afterAutospacing="0"/>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E16334" w14:paraId="394DC68C" w14:textId="77777777" w:rsidTr="003E7CE0">
        <w:tc>
          <w:tcPr>
            <w:tcW w:w="1000" w:type="pct"/>
            <w:tcMar>
              <w:top w:w="75" w:type="dxa"/>
              <w:left w:w="0" w:type="dxa"/>
              <w:bottom w:w="0" w:type="dxa"/>
              <w:right w:w="0" w:type="dxa"/>
            </w:tcMar>
            <w:hideMark/>
          </w:tcPr>
          <w:p w14:paraId="6636BF6A"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E16334" w:rsidRDefault="00045AFF">
            <w:pPr>
              <w:pStyle w:val="NormalWeb"/>
              <w:spacing w:before="0" w:beforeAutospacing="0" w:after="0" w:afterAutospacing="0"/>
              <w:jc w:val="center"/>
              <w:rPr>
                <w:rFonts w:ascii="Calibri" w:hAnsi="Calibri" w:cs="Calibri"/>
                <w:bCs/>
                <w:color w:val="FFFFFF"/>
                <w:sz w:val="16"/>
                <w:szCs w:val="16"/>
                <w:lang w:val="en-GB"/>
              </w:rPr>
            </w:pPr>
            <w:r w:rsidRPr="00E16334">
              <w:rPr>
                <w:rFonts w:ascii="Calibri" w:hAnsi="Calibri" w:cs="Calibri"/>
                <w:bCs/>
                <w:color w:val="000000" w:themeColor="text1"/>
                <w:sz w:val="16"/>
                <w:szCs w:val="16"/>
                <w:lang w:val="en-GB"/>
              </w:rPr>
              <w:t>Conditional recommendation against the intervention</w:t>
            </w:r>
          </w:p>
        </w:tc>
        <w:tc>
          <w:tcPr>
            <w:tcW w:w="1000" w:type="pct"/>
            <w:tcMar>
              <w:top w:w="75" w:type="dxa"/>
              <w:left w:w="0" w:type="dxa"/>
              <w:bottom w:w="0" w:type="dxa"/>
              <w:right w:w="0" w:type="dxa"/>
            </w:tcMar>
            <w:hideMark/>
          </w:tcPr>
          <w:p w14:paraId="68206C18"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E16334" w:rsidRDefault="00045AFF">
            <w:pPr>
              <w:pStyle w:val="NormalWeb"/>
              <w:spacing w:before="0" w:beforeAutospacing="0" w:after="0" w:afterAutospacing="0"/>
              <w:jc w:val="center"/>
              <w:rPr>
                <w:rFonts w:ascii="Calibri" w:hAnsi="Calibri" w:cs="Calibri"/>
                <w:b/>
                <w:color w:val="000000"/>
                <w:sz w:val="16"/>
                <w:szCs w:val="16"/>
                <w:lang w:val="en-GB"/>
              </w:rPr>
            </w:pPr>
            <w:r w:rsidRPr="00E16334">
              <w:rPr>
                <w:rFonts w:ascii="Calibri" w:hAnsi="Calibri" w:cs="Calibri"/>
                <w:b/>
                <w:color w:val="000000"/>
                <w:sz w:val="16"/>
                <w:szCs w:val="16"/>
                <w:lang w:val="en-GB"/>
              </w:rPr>
              <w:t>Conditional recommendation for the intervention</w:t>
            </w:r>
          </w:p>
        </w:tc>
        <w:tc>
          <w:tcPr>
            <w:tcW w:w="1000" w:type="pct"/>
            <w:tcMar>
              <w:top w:w="75" w:type="dxa"/>
              <w:left w:w="0" w:type="dxa"/>
              <w:bottom w:w="0" w:type="dxa"/>
              <w:right w:w="0" w:type="dxa"/>
            </w:tcMar>
            <w:hideMark/>
          </w:tcPr>
          <w:p w14:paraId="280740CD" w14:textId="77777777" w:rsidR="000526C3" w:rsidRPr="00E16334" w:rsidRDefault="00045AFF">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0526C3" w:rsidRPr="00E16334"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E16334" w:rsidRDefault="0094121A">
            <w:pPr>
              <w:pStyle w:val="marker"/>
              <w:spacing w:before="0" w:beforeAutospacing="0" w:after="0" w:afterAutospacing="0"/>
              <w:jc w:val="center"/>
              <w:rPr>
                <w:b/>
                <w:bCs/>
                <w:color w:val="FFFFFF"/>
                <w:sz w:val="16"/>
                <w:szCs w:val="16"/>
                <w:lang w:val="en-GB"/>
              </w:rPr>
            </w:pPr>
            <w:r w:rsidRPr="00E16334">
              <w:rPr>
                <w:color w:val="000000"/>
                <w:lang w:val="en-GB"/>
              </w:rPr>
              <w:t>○</w:t>
            </w:r>
          </w:p>
        </w:tc>
        <w:tc>
          <w:tcPr>
            <w:tcW w:w="1000" w:type="pct"/>
            <w:tcMar>
              <w:top w:w="0" w:type="dxa"/>
              <w:left w:w="0" w:type="dxa"/>
              <w:bottom w:w="75" w:type="dxa"/>
              <w:right w:w="0" w:type="dxa"/>
            </w:tcMar>
            <w:hideMark/>
          </w:tcPr>
          <w:p w14:paraId="5323A754" w14:textId="374F4B47" w:rsidR="000526C3" w:rsidRPr="00E16334" w:rsidRDefault="0094121A">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E16334" w:rsidRDefault="0094121A">
            <w:pPr>
              <w:pStyle w:val="marker"/>
              <w:spacing w:before="0" w:beforeAutospacing="0" w:after="0" w:afterAutospacing="0"/>
              <w:jc w:val="center"/>
              <w:rPr>
                <w:color w:val="000000"/>
                <w:lang w:val="en-GB"/>
              </w:rPr>
            </w:pPr>
            <w:r w:rsidRPr="00E16334">
              <w:rPr>
                <w:rStyle w:val="checked-marker"/>
                <w:rFonts w:ascii="Calibri" w:eastAsia="Times New Roman" w:hAnsi="Calibri" w:cs="Calibri"/>
                <w:sz w:val="16"/>
                <w:szCs w:val="16"/>
                <w:lang w:val="en-GB"/>
              </w:rPr>
              <w:t>●</w:t>
            </w:r>
            <w:r w:rsidR="00045AFF" w:rsidRPr="00E16334">
              <w:rPr>
                <w:color w:val="000000"/>
                <w:lang w:val="en-GB"/>
              </w:rPr>
              <w:t xml:space="preserve"> </w:t>
            </w:r>
          </w:p>
        </w:tc>
        <w:tc>
          <w:tcPr>
            <w:tcW w:w="1000" w:type="pct"/>
            <w:tcMar>
              <w:top w:w="0" w:type="dxa"/>
              <w:left w:w="0" w:type="dxa"/>
              <w:bottom w:w="75" w:type="dxa"/>
              <w:right w:w="0" w:type="dxa"/>
            </w:tcMar>
            <w:hideMark/>
          </w:tcPr>
          <w:p w14:paraId="6C8360C1" w14:textId="77777777" w:rsidR="000526C3" w:rsidRPr="00E16334" w:rsidRDefault="00045AFF">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78C3FFDD" w14:textId="77777777" w:rsidR="00F7313F" w:rsidRDefault="00F7313F">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7FE113DD"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trPr>
          <w:trHeight w:val="1080"/>
        </w:trPr>
        <w:tc>
          <w:tcPr>
            <w:tcW w:w="0" w:type="auto"/>
            <w:tcMar>
              <w:top w:w="75" w:type="dxa"/>
              <w:left w:w="75" w:type="dxa"/>
              <w:bottom w:w="75" w:type="dxa"/>
              <w:right w:w="75" w:type="dxa"/>
            </w:tcMar>
            <w:hideMark/>
          </w:tcPr>
          <w:p w14:paraId="2A0862EE" w14:textId="123BC7C9" w:rsidR="00605AAE" w:rsidRPr="003A41F0" w:rsidRDefault="00937D33" w:rsidP="0039117B">
            <w:pPr>
              <w:rPr>
                <w:rFonts w:ascii="Calibri" w:eastAsia="Times New Roman" w:hAnsi="Calibri" w:cs="Calibri"/>
                <w:b/>
                <w:sz w:val="20"/>
                <w:szCs w:val="16"/>
                <w:lang w:val="en-GB"/>
              </w:rPr>
            </w:pPr>
            <w:r w:rsidRPr="00E16334">
              <w:rPr>
                <w:rFonts w:ascii="Calibri" w:eastAsia="Times New Roman" w:hAnsi="Calibri" w:cs="Calibri"/>
                <w:b/>
                <w:sz w:val="20"/>
                <w:szCs w:val="16"/>
                <w:lang w:val="en-GB"/>
              </w:rPr>
              <w:t xml:space="preserve">We suggest </w:t>
            </w:r>
            <w:r w:rsidR="0094121A" w:rsidRPr="00E16334">
              <w:rPr>
                <w:rFonts w:ascii="Calibri" w:eastAsia="Times New Roman" w:hAnsi="Calibri" w:cs="Calibri"/>
                <w:b/>
                <w:sz w:val="20"/>
                <w:szCs w:val="16"/>
                <w:lang w:val="en-GB"/>
              </w:rPr>
              <w:t xml:space="preserve">using </w:t>
            </w:r>
            <w:r w:rsidR="00E16334">
              <w:rPr>
                <w:rFonts w:ascii="Calibri" w:eastAsia="Times New Roman" w:hAnsi="Calibri" w:cs="Calibri"/>
                <w:b/>
                <w:sz w:val="20"/>
                <w:szCs w:val="16"/>
                <w:lang w:val="en-GB"/>
              </w:rPr>
              <w:t>neuron specific enolase within</w:t>
            </w:r>
            <w:r w:rsidR="0094121A" w:rsidRPr="00E16334">
              <w:rPr>
                <w:rFonts w:ascii="Calibri" w:eastAsia="Times New Roman" w:hAnsi="Calibri" w:cs="Calibri"/>
                <w:b/>
                <w:sz w:val="20"/>
                <w:szCs w:val="16"/>
                <w:lang w:val="en-GB"/>
              </w:rPr>
              <w:t xml:space="preserve"> 72h after ROSC, in combination with other tests, for predicting neurological outcome of </w:t>
            </w:r>
            <w:r w:rsidR="008D10FD" w:rsidRPr="00E16334">
              <w:rPr>
                <w:rFonts w:ascii="Calibri" w:eastAsia="Times New Roman" w:hAnsi="Calibri" w:cs="Calibri"/>
                <w:b/>
                <w:sz w:val="20"/>
                <w:szCs w:val="16"/>
                <w:lang w:val="en-GB"/>
              </w:rPr>
              <w:t xml:space="preserve">adults </w:t>
            </w:r>
            <w:r w:rsidR="0094121A" w:rsidRPr="00E16334">
              <w:rPr>
                <w:rFonts w:ascii="Calibri" w:eastAsia="Times New Roman" w:hAnsi="Calibri" w:cs="Calibri"/>
                <w:b/>
                <w:sz w:val="20"/>
                <w:szCs w:val="16"/>
                <w:lang w:val="en-GB"/>
              </w:rPr>
              <w:t xml:space="preserve">who are comatose </w:t>
            </w:r>
            <w:r w:rsidR="008D10FD" w:rsidRPr="00E16334">
              <w:rPr>
                <w:rFonts w:ascii="Calibri" w:eastAsia="Times New Roman" w:hAnsi="Calibri" w:cs="Calibri"/>
                <w:b/>
                <w:sz w:val="20"/>
                <w:szCs w:val="16"/>
                <w:lang w:val="en-GB"/>
              </w:rPr>
              <w:t>after cardiac arrest</w:t>
            </w:r>
            <w:r w:rsidRPr="00E16334">
              <w:rPr>
                <w:rFonts w:ascii="Calibri" w:eastAsia="Times New Roman" w:hAnsi="Calibri" w:cs="Calibri"/>
                <w:b/>
                <w:sz w:val="20"/>
                <w:szCs w:val="16"/>
                <w:lang w:val="en-GB"/>
              </w:rPr>
              <w:t xml:space="preserve"> (weak recommend</w:t>
            </w:r>
            <w:r w:rsidR="00457198" w:rsidRPr="00E16334">
              <w:rPr>
                <w:rFonts w:ascii="Calibri" w:eastAsia="Times New Roman" w:hAnsi="Calibri" w:cs="Calibri"/>
                <w:b/>
                <w:sz w:val="20"/>
                <w:szCs w:val="16"/>
                <w:lang w:val="en-GB"/>
              </w:rPr>
              <w:t>a</w:t>
            </w:r>
            <w:r w:rsidRPr="00E16334">
              <w:rPr>
                <w:rFonts w:ascii="Calibri" w:eastAsia="Times New Roman" w:hAnsi="Calibri" w:cs="Calibri"/>
                <w:b/>
                <w:sz w:val="20"/>
                <w:szCs w:val="16"/>
                <w:lang w:val="en-GB"/>
              </w:rPr>
              <w:t xml:space="preserve">tion, </w:t>
            </w:r>
            <w:r w:rsidR="00F7313F">
              <w:rPr>
                <w:rFonts w:ascii="Calibri" w:eastAsia="Times New Roman" w:hAnsi="Calibri" w:cs="Calibri"/>
                <w:b/>
                <w:sz w:val="20"/>
                <w:szCs w:val="16"/>
                <w:lang w:val="en-GB"/>
              </w:rPr>
              <w:t>very-</w:t>
            </w:r>
            <w:r w:rsidRPr="00E16334">
              <w:rPr>
                <w:rFonts w:ascii="Calibri" w:eastAsia="Times New Roman" w:hAnsi="Calibri" w:cs="Calibri"/>
                <w:b/>
                <w:sz w:val="20"/>
                <w:szCs w:val="16"/>
                <w:lang w:val="en-GB"/>
              </w:rPr>
              <w:t xml:space="preserve">low-certainty evidence). </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0526C3" w:rsidRPr="00E16334" w14:paraId="1169A6AC" w14:textId="77777777">
        <w:trPr>
          <w:trHeight w:val="1080"/>
        </w:trPr>
        <w:tc>
          <w:tcPr>
            <w:tcW w:w="0" w:type="auto"/>
            <w:tcMar>
              <w:top w:w="75" w:type="dxa"/>
              <w:left w:w="75" w:type="dxa"/>
              <w:bottom w:w="75" w:type="dxa"/>
              <w:right w:w="75" w:type="dxa"/>
            </w:tcMar>
            <w:hideMark/>
          </w:tcPr>
          <w:p w14:paraId="4909A0C6" w14:textId="1A6C1F4C" w:rsidR="000526C3" w:rsidRPr="00E16334" w:rsidRDefault="003A41F0" w:rsidP="00F7313F">
            <w:pPr>
              <w:spacing w:after="0"/>
              <w:rPr>
                <w:rFonts w:ascii="Calibri" w:eastAsia="Times New Roman" w:hAnsi="Calibri" w:cs="Calibri"/>
                <w:sz w:val="20"/>
                <w:szCs w:val="16"/>
                <w:lang w:val="en-GB"/>
              </w:rPr>
            </w:pPr>
            <w:r>
              <w:rPr>
                <w:rFonts w:ascii="Calibri" w:eastAsia="Times New Roman" w:hAnsi="Calibri" w:cs="Calibri"/>
                <w:sz w:val="20"/>
                <w:szCs w:val="16"/>
                <w:lang w:val="en-GB"/>
              </w:rPr>
              <w:t>Limited evidence suggests that</w:t>
            </w:r>
            <w:r w:rsidR="00EE6686" w:rsidRPr="00E16334">
              <w:rPr>
                <w:rFonts w:ascii="Calibri" w:eastAsia="Times New Roman" w:hAnsi="Calibri" w:cs="Calibri"/>
                <w:sz w:val="20"/>
                <w:szCs w:val="16"/>
                <w:lang w:val="en-GB"/>
              </w:rPr>
              <w:t xml:space="preserve"> </w:t>
            </w:r>
            <w:r>
              <w:rPr>
                <w:rFonts w:ascii="Calibri" w:eastAsia="Times New Roman" w:hAnsi="Calibri" w:cs="Calibri"/>
                <w:sz w:val="20"/>
                <w:szCs w:val="16"/>
                <w:lang w:val="en-GB"/>
              </w:rPr>
              <w:t xml:space="preserve">high levels of neuron specific enolase </w:t>
            </w:r>
            <w:r w:rsidR="00756B9C" w:rsidRPr="00E16334">
              <w:rPr>
                <w:rFonts w:ascii="Calibri" w:eastAsia="Times New Roman" w:hAnsi="Calibri" w:cs="Calibri"/>
                <w:sz w:val="20"/>
                <w:szCs w:val="16"/>
                <w:lang w:val="en-GB"/>
              </w:rPr>
              <w:t>(</w:t>
            </w:r>
            <w:r>
              <w:rPr>
                <w:rFonts w:ascii="Calibri" w:eastAsia="Times New Roman" w:hAnsi="Calibri" w:cs="Calibri"/>
                <w:sz w:val="20"/>
                <w:szCs w:val="16"/>
                <w:lang w:val="en-GB"/>
              </w:rPr>
              <w:t>NSE</w:t>
            </w:r>
            <w:r w:rsidR="00756B9C" w:rsidRPr="00E16334">
              <w:rPr>
                <w:rFonts w:ascii="Calibri" w:eastAsia="Times New Roman" w:hAnsi="Calibri" w:cs="Calibri"/>
                <w:sz w:val="20"/>
                <w:szCs w:val="16"/>
                <w:lang w:val="en-GB"/>
              </w:rPr>
              <w:t>)</w:t>
            </w:r>
            <w:r>
              <w:rPr>
                <w:rFonts w:ascii="Calibri" w:eastAsia="Times New Roman" w:hAnsi="Calibri" w:cs="Calibri"/>
                <w:sz w:val="20"/>
                <w:szCs w:val="16"/>
                <w:lang w:val="en-GB"/>
              </w:rPr>
              <w:t xml:space="preserve"> predict poor neurological outcome with 100% </w:t>
            </w:r>
            <w:r w:rsidR="00D64898" w:rsidRPr="00E16334">
              <w:rPr>
                <w:rFonts w:ascii="Calibri" w:eastAsia="Times New Roman" w:hAnsi="Calibri" w:cs="Calibri"/>
                <w:sz w:val="20"/>
                <w:szCs w:val="16"/>
                <w:lang w:val="en-GB"/>
              </w:rPr>
              <w:t xml:space="preserve">specificity </w:t>
            </w:r>
            <w:r w:rsidR="00EE6686" w:rsidRPr="00E16334">
              <w:rPr>
                <w:rFonts w:ascii="Calibri" w:eastAsia="Times New Roman" w:hAnsi="Calibri" w:cs="Calibri"/>
                <w:sz w:val="20"/>
                <w:szCs w:val="16"/>
                <w:lang w:val="en-GB"/>
              </w:rPr>
              <w:t xml:space="preserve">at </w:t>
            </w:r>
            <w:r>
              <w:rPr>
                <w:rFonts w:ascii="Calibri" w:eastAsia="Times New Roman" w:hAnsi="Calibri" w:cs="Calibri"/>
                <w:sz w:val="20"/>
                <w:szCs w:val="16"/>
                <w:lang w:val="en-GB"/>
              </w:rPr>
              <w:t>24-</w:t>
            </w:r>
            <w:r w:rsidR="00EE6686" w:rsidRPr="00E16334">
              <w:rPr>
                <w:rFonts w:ascii="Calibri" w:eastAsia="Times New Roman" w:hAnsi="Calibri" w:cs="Calibri"/>
                <w:sz w:val="20"/>
                <w:szCs w:val="16"/>
                <w:lang w:val="en-GB"/>
              </w:rPr>
              <w:t>72h after cardiac arrest.</w:t>
            </w:r>
            <w:r w:rsidR="002A7E52" w:rsidRPr="00E16334">
              <w:rPr>
                <w:rFonts w:ascii="Calibri" w:eastAsia="Times New Roman" w:hAnsi="Calibri" w:cs="Calibri"/>
                <w:sz w:val="20"/>
                <w:szCs w:val="16"/>
                <w:lang w:val="en-GB"/>
              </w:rPr>
              <w:t xml:space="preserve"> </w:t>
            </w:r>
            <w:r>
              <w:rPr>
                <w:rFonts w:ascii="Calibri" w:eastAsia="Times New Roman" w:hAnsi="Calibri" w:cs="Calibri"/>
                <w:sz w:val="20"/>
                <w:szCs w:val="16"/>
                <w:lang w:val="en-GB"/>
              </w:rPr>
              <w:t>There is a wide variability of thresholds for 100% specificity across studies</w:t>
            </w:r>
            <w:r w:rsidRPr="00251392">
              <w:rPr>
                <w:rFonts w:ascii="Calibri" w:eastAsia="Times New Roman" w:hAnsi="Calibri" w:cs="Calibri"/>
                <w:sz w:val="20"/>
                <w:szCs w:val="16"/>
                <w:lang w:val="en-GB"/>
              </w:rPr>
              <w:t xml:space="preserve">. </w:t>
            </w:r>
            <w:r w:rsidR="00EE6686" w:rsidRPr="00251392">
              <w:rPr>
                <w:rFonts w:ascii="Calibri" w:eastAsia="Times New Roman" w:hAnsi="Calibri" w:cs="Calibri"/>
                <w:sz w:val="20"/>
                <w:szCs w:val="16"/>
                <w:lang w:val="en-GB"/>
              </w:rPr>
              <w:t xml:space="preserve">Lack of blinding </w:t>
            </w:r>
            <w:r w:rsidRPr="00251392">
              <w:rPr>
                <w:rFonts w:ascii="Calibri" w:eastAsia="Times New Roman" w:hAnsi="Calibri" w:cs="Calibri"/>
                <w:sz w:val="20"/>
                <w:szCs w:val="16"/>
                <w:lang w:val="en-GB"/>
              </w:rPr>
              <w:t>wa</w:t>
            </w:r>
            <w:r w:rsidR="00EE6686" w:rsidRPr="00251392">
              <w:rPr>
                <w:rFonts w:ascii="Calibri" w:eastAsia="Times New Roman" w:hAnsi="Calibri" w:cs="Calibri"/>
                <w:sz w:val="20"/>
                <w:szCs w:val="16"/>
                <w:lang w:val="en-GB"/>
              </w:rPr>
              <w:t xml:space="preserve">s a limitation </w:t>
            </w:r>
            <w:r w:rsidRPr="00251392">
              <w:rPr>
                <w:rFonts w:ascii="Calibri" w:eastAsia="Times New Roman" w:hAnsi="Calibri" w:cs="Calibri"/>
                <w:sz w:val="20"/>
                <w:szCs w:val="16"/>
                <w:lang w:val="en-GB"/>
              </w:rPr>
              <w:t xml:space="preserve">in most of included studies, </w:t>
            </w:r>
            <w:r w:rsidR="00B5515F" w:rsidRPr="00251392">
              <w:rPr>
                <w:rFonts w:ascii="Calibri" w:eastAsia="Times New Roman" w:hAnsi="Calibri" w:cs="Calibri"/>
                <w:sz w:val="20"/>
                <w:szCs w:val="16"/>
                <w:lang w:val="en-GB"/>
              </w:rPr>
              <w:t xml:space="preserve">even if </w:t>
            </w:r>
            <w:r w:rsidR="00EE6686" w:rsidRPr="00251392">
              <w:rPr>
                <w:rFonts w:ascii="Calibri" w:eastAsia="Times New Roman" w:hAnsi="Calibri" w:cs="Calibri"/>
                <w:sz w:val="20"/>
                <w:szCs w:val="16"/>
                <w:lang w:val="en-GB"/>
              </w:rPr>
              <w:t xml:space="preserve">WLST based </w:t>
            </w:r>
            <w:r w:rsidRPr="00251392">
              <w:rPr>
                <w:rFonts w:ascii="Calibri" w:eastAsia="Times New Roman" w:hAnsi="Calibri" w:cs="Calibri"/>
                <w:sz w:val="20"/>
                <w:szCs w:val="16"/>
                <w:lang w:val="en-GB"/>
              </w:rPr>
              <w:t xml:space="preserve">only on NSE was </w:t>
            </w:r>
            <w:r w:rsidR="00EE6686" w:rsidRPr="00251392">
              <w:rPr>
                <w:rFonts w:ascii="Calibri" w:eastAsia="Times New Roman" w:hAnsi="Calibri" w:cs="Calibri"/>
                <w:sz w:val="20"/>
                <w:szCs w:val="16"/>
                <w:lang w:val="en-GB"/>
              </w:rPr>
              <w:t>not documented.</w:t>
            </w:r>
          </w:p>
        </w:tc>
      </w:tr>
    </w:tbl>
    <w:p w14:paraId="1D2BC6B0" w14:textId="77777777" w:rsidR="000526C3" w:rsidRPr="00E16334" w:rsidRDefault="000526C3">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E16334" w14:paraId="55FEACA4" w14:textId="77777777" w:rsidTr="00F7313F">
        <w:trPr>
          <w:trHeight w:val="408"/>
        </w:trPr>
        <w:tc>
          <w:tcPr>
            <w:tcW w:w="0" w:type="auto"/>
            <w:tcMar>
              <w:top w:w="75" w:type="dxa"/>
              <w:left w:w="75" w:type="dxa"/>
              <w:bottom w:w="75" w:type="dxa"/>
              <w:right w:w="75" w:type="dxa"/>
            </w:tcMar>
          </w:tcPr>
          <w:p w14:paraId="16264A57" w14:textId="6B040F13" w:rsidR="000526C3" w:rsidRPr="00E16334" w:rsidRDefault="001D5268">
            <w:pPr>
              <w:rPr>
                <w:rFonts w:ascii="Calibri" w:eastAsia="Times New Roman" w:hAnsi="Calibri" w:cs="Calibri"/>
                <w:sz w:val="16"/>
                <w:szCs w:val="16"/>
                <w:lang w:val="en-GB"/>
              </w:rPr>
            </w:pPr>
            <w:r w:rsidRPr="00E16334">
              <w:rPr>
                <w:rFonts w:ascii="Calibri" w:eastAsia="Times New Roman" w:hAnsi="Calibri" w:cs="Calibri"/>
                <w:sz w:val="16"/>
                <w:szCs w:val="16"/>
                <w:lang w:val="en-GB"/>
              </w:rPr>
              <w:t>None</w:t>
            </w:r>
            <w:r w:rsidR="00422027">
              <w:rPr>
                <w:rFonts w:ascii="Calibri" w:eastAsia="Times New Roman" w:hAnsi="Calibri" w:cs="Calibri"/>
                <w:sz w:val="16"/>
                <w:szCs w:val="16"/>
                <w:lang w:val="en-GB"/>
              </w:rPr>
              <w:t>.</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48935D58" w14:textId="6F89EF56" w:rsidR="001D5268" w:rsidRDefault="00F7313F">
      <w:pPr>
        <w:rPr>
          <w:rFonts w:ascii="Calibri" w:eastAsia="Times New Roman" w:hAnsi="Calibri" w:cs="Calibri"/>
          <w:vanish/>
          <w:color w:val="000000"/>
          <w:sz w:val="16"/>
          <w:szCs w:val="16"/>
          <w:lang w:val="en-GB"/>
        </w:rPr>
      </w:pPr>
      <w:r>
        <w:rPr>
          <w:rFonts w:ascii="Calibri" w:eastAsia="Times New Roman" w:hAnsi="Calibri" w:cs="Calibri"/>
          <w:vanish/>
          <w:color w:val="000000"/>
          <w:sz w:val="16"/>
          <w:szCs w:val="16"/>
          <w:lang w:val="en-GB"/>
        </w:rPr>
        <w:t xml:space="preserve">Measurement of NSE levels requires a specific equipment. NSE levels may vary across different methods o measurement. </w:t>
      </w:r>
    </w:p>
    <w:p w14:paraId="122234FF" w14:textId="77777777" w:rsidR="00F7313F" w:rsidRPr="00E16334" w:rsidRDefault="00F7313F">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trPr>
          <w:trHeight w:val="1080"/>
        </w:trPr>
        <w:tc>
          <w:tcPr>
            <w:tcW w:w="0" w:type="auto"/>
            <w:tcMar>
              <w:top w:w="75" w:type="dxa"/>
              <w:left w:w="75" w:type="dxa"/>
              <w:bottom w:w="75" w:type="dxa"/>
              <w:right w:w="75" w:type="dxa"/>
            </w:tcMar>
            <w:hideMark/>
          </w:tcPr>
          <w:tbl>
            <w:tblPr>
              <w:tblpPr w:leftFromText="141" w:rightFromText="141" w:vertAnchor="text" w:horzAnchor="margin" w:tblpY="636"/>
              <w:tblW w:w="14550" w:type="dxa"/>
              <w:tblCellMar>
                <w:top w:w="15" w:type="dxa"/>
                <w:left w:w="15" w:type="dxa"/>
                <w:bottom w:w="15" w:type="dxa"/>
                <w:right w:w="15" w:type="dxa"/>
              </w:tblCellMar>
              <w:tblLook w:val="04A0" w:firstRow="1" w:lastRow="0" w:firstColumn="1" w:lastColumn="0" w:noHBand="0" w:noVBand="1"/>
            </w:tblPr>
            <w:tblGrid>
              <w:gridCol w:w="14550"/>
            </w:tblGrid>
            <w:tr w:rsidR="000D7390" w:rsidRPr="00E16334" w14:paraId="78E628AF" w14:textId="77777777" w:rsidTr="000D7390">
              <w:tc>
                <w:tcPr>
                  <w:tcW w:w="0" w:type="auto"/>
                  <w:shd w:val="clear" w:color="auto" w:fill="2E74B5"/>
                  <w:tcMar>
                    <w:top w:w="75" w:type="dxa"/>
                    <w:left w:w="75" w:type="dxa"/>
                    <w:bottom w:w="75" w:type="dxa"/>
                    <w:right w:w="75" w:type="dxa"/>
                  </w:tcMar>
                  <w:hideMark/>
                </w:tcPr>
                <w:p w14:paraId="55780860" w14:textId="77777777" w:rsidR="000D7390" w:rsidRPr="00E16334" w:rsidRDefault="000D7390" w:rsidP="003C2390">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D7390" w:rsidRPr="00E16334" w14:paraId="436D825B" w14:textId="77777777" w:rsidTr="000D7390">
              <w:trPr>
                <w:trHeight w:val="1080"/>
              </w:trPr>
              <w:tc>
                <w:tcPr>
                  <w:tcW w:w="0" w:type="auto"/>
                  <w:tcMar>
                    <w:top w:w="75" w:type="dxa"/>
                    <w:left w:w="75" w:type="dxa"/>
                    <w:bottom w:w="75" w:type="dxa"/>
                    <w:right w:w="75" w:type="dxa"/>
                  </w:tcMar>
                  <w:hideMark/>
                </w:tcPr>
                <w:p w14:paraId="30B3C24D" w14:textId="77777777" w:rsidR="000D7390" w:rsidRPr="00E16334" w:rsidRDefault="000D7390" w:rsidP="003C2390">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Large cohort s</w:t>
                  </w:r>
                  <w:r w:rsidRPr="00E16334">
                    <w:rPr>
                      <w:rFonts w:ascii="Calibri" w:eastAsia="Times New Roman" w:hAnsi="Calibri" w:cs="Calibri"/>
                      <w:sz w:val="20"/>
                      <w:szCs w:val="16"/>
                      <w:lang w:val="en-GB"/>
                    </w:rPr>
                    <w:t xml:space="preserve">tudies </w:t>
                  </w:r>
                  <w:r>
                    <w:rPr>
                      <w:rFonts w:ascii="Calibri" w:eastAsia="Times New Roman" w:hAnsi="Calibri" w:cs="Calibri"/>
                      <w:sz w:val="20"/>
                      <w:szCs w:val="16"/>
                      <w:lang w:val="en-GB"/>
                    </w:rPr>
                    <w:t xml:space="preserve">are desirable to identify a consistent NSE threshold for predicting poor neurological outcome </w:t>
                  </w:r>
                  <w:r w:rsidRPr="00E16334">
                    <w:rPr>
                      <w:rFonts w:ascii="Calibri" w:eastAsia="Times New Roman" w:hAnsi="Calibri" w:cs="Calibri"/>
                      <w:sz w:val="20"/>
                      <w:szCs w:val="16"/>
                      <w:lang w:val="en-GB"/>
                    </w:rPr>
                    <w:t xml:space="preserve">after cardiac arrest. </w:t>
                  </w:r>
                </w:p>
                <w:p w14:paraId="7B31E00E" w14:textId="77777777" w:rsidR="000D7390" w:rsidRPr="00E16334" w:rsidRDefault="000D7390" w:rsidP="003C2390">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There is very little evidence concerning the predictive value of NSE measured later than 72h after ROSC</w:t>
                  </w:r>
                  <w:r w:rsidRPr="00E16334">
                    <w:rPr>
                      <w:rFonts w:ascii="Calibri" w:eastAsia="Times New Roman" w:hAnsi="Calibri" w:cs="Calibri"/>
                      <w:sz w:val="20"/>
                      <w:szCs w:val="16"/>
                      <w:lang w:val="en-GB"/>
                    </w:rPr>
                    <w:t xml:space="preserve">. </w:t>
                  </w:r>
                </w:p>
              </w:tc>
            </w:tr>
          </w:tbl>
          <w:p w14:paraId="06F50BFC" w14:textId="1EC5B9D8" w:rsidR="000526C3" w:rsidRPr="00E16334" w:rsidRDefault="000526C3">
            <w:pPr>
              <w:rPr>
                <w:rFonts w:ascii="Calibri" w:eastAsia="Times New Roman" w:hAnsi="Calibri" w:cs="Calibri"/>
                <w:sz w:val="16"/>
                <w:szCs w:val="16"/>
                <w:lang w:val="en-GB"/>
              </w:rPr>
            </w:pPr>
          </w:p>
        </w:tc>
      </w:tr>
    </w:tbl>
    <w:p w14:paraId="0C69AEB0" w14:textId="77777777" w:rsidR="000526C3" w:rsidRPr="00E16334" w:rsidRDefault="000526C3">
      <w:pPr>
        <w:rPr>
          <w:rFonts w:ascii="Calibri" w:eastAsia="Times New Roman" w:hAnsi="Calibri" w:cs="Calibri"/>
          <w:vanish/>
          <w:color w:val="000000"/>
          <w:sz w:val="16"/>
          <w:szCs w:val="16"/>
          <w:lang w:val="en-GB"/>
        </w:rPr>
      </w:pPr>
    </w:p>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D7390"/>
    <w:rsid w:val="000E1322"/>
    <w:rsid w:val="000F41CF"/>
    <w:rsid w:val="001146B3"/>
    <w:rsid w:val="00130B30"/>
    <w:rsid w:val="00145E59"/>
    <w:rsid w:val="001472EF"/>
    <w:rsid w:val="001A365A"/>
    <w:rsid w:val="001C455C"/>
    <w:rsid w:val="001D5268"/>
    <w:rsid w:val="001F5D76"/>
    <w:rsid w:val="00251392"/>
    <w:rsid w:val="00270546"/>
    <w:rsid w:val="002A111C"/>
    <w:rsid w:val="002A7E52"/>
    <w:rsid w:val="002C660A"/>
    <w:rsid w:val="002C7D86"/>
    <w:rsid w:val="002D7F5E"/>
    <w:rsid w:val="003016F3"/>
    <w:rsid w:val="003079F7"/>
    <w:rsid w:val="003333FA"/>
    <w:rsid w:val="00342122"/>
    <w:rsid w:val="0036384C"/>
    <w:rsid w:val="00363A75"/>
    <w:rsid w:val="00384649"/>
    <w:rsid w:val="0039117B"/>
    <w:rsid w:val="003953AD"/>
    <w:rsid w:val="00396BD4"/>
    <w:rsid w:val="003A2420"/>
    <w:rsid w:val="003A41F0"/>
    <w:rsid w:val="003C2390"/>
    <w:rsid w:val="003C25B6"/>
    <w:rsid w:val="003D1891"/>
    <w:rsid w:val="003E7CE0"/>
    <w:rsid w:val="004014E6"/>
    <w:rsid w:val="00422027"/>
    <w:rsid w:val="00457198"/>
    <w:rsid w:val="00494440"/>
    <w:rsid w:val="004B4CFF"/>
    <w:rsid w:val="004C24CC"/>
    <w:rsid w:val="00507A54"/>
    <w:rsid w:val="00515153"/>
    <w:rsid w:val="00522AA3"/>
    <w:rsid w:val="0052566F"/>
    <w:rsid w:val="005433BC"/>
    <w:rsid w:val="005467BC"/>
    <w:rsid w:val="00557635"/>
    <w:rsid w:val="0056303A"/>
    <w:rsid w:val="00567EDE"/>
    <w:rsid w:val="00596808"/>
    <w:rsid w:val="00597673"/>
    <w:rsid w:val="005A2BC8"/>
    <w:rsid w:val="005B480C"/>
    <w:rsid w:val="005B7F5A"/>
    <w:rsid w:val="005D5D27"/>
    <w:rsid w:val="005E0638"/>
    <w:rsid w:val="005E4D8E"/>
    <w:rsid w:val="005F2DE2"/>
    <w:rsid w:val="005F79A2"/>
    <w:rsid w:val="00605AAE"/>
    <w:rsid w:val="0063510A"/>
    <w:rsid w:val="0064632E"/>
    <w:rsid w:val="0065473D"/>
    <w:rsid w:val="00660C41"/>
    <w:rsid w:val="006618FD"/>
    <w:rsid w:val="00667B78"/>
    <w:rsid w:val="0068451F"/>
    <w:rsid w:val="006A5864"/>
    <w:rsid w:val="006D0D5A"/>
    <w:rsid w:val="006D34DE"/>
    <w:rsid w:val="006D6EF2"/>
    <w:rsid w:val="006F1070"/>
    <w:rsid w:val="00745D65"/>
    <w:rsid w:val="00756B9C"/>
    <w:rsid w:val="007660FE"/>
    <w:rsid w:val="007812DD"/>
    <w:rsid w:val="0078785D"/>
    <w:rsid w:val="007A0601"/>
    <w:rsid w:val="007A3BBF"/>
    <w:rsid w:val="007A788F"/>
    <w:rsid w:val="007C005A"/>
    <w:rsid w:val="007E4881"/>
    <w:rsid w:val="007E4A2B"/>
    <w:rsid w:val="007E5312"/>
    <w:rsid w:val="007E633F"/>
    <w:rsid w:val="00815EF0"/>
    <w:rsid w:val="008414C6"/>
    <w:rsid w:val="00841C7E"/>
    <w:rsid w:val="00842E96"/>
    <w:rsid w:val="0085642B"/>
    <w:rsid w:val="008828A3"/>
    <w:rsid w:val="00891685"/>
    <w:rsid w:val="008A45A1"/>
    <w:rsid w:val="008A5E4F"/>
    <w:rsid w:val="008C7C2A"/>
    <w:rsid w:val="008D10FD"/>
    <w:rsid w:val="008E06F7"/>
    <w:rsid w:val="008E2D18"/>
    <w:rsid w:val="00901098"/>
    <w:rsid w:val="00913F7A"/>
    <w:rsid w:val="00916446"/>
    <w:rsid w:val="0092326D"/>
    <w:rsid w:val="00937D33"/>
    <w:rsid w:val="0094121A"/>
    <w:rsid w:val="00943BED"/>
    <w:rsid w:val="00953837"/>
    <w:rsid w:val="00973943"/>
    <w:rsid w:val="009A3DAE"/>
    <w:rsid w:val="00A04921"/>
    <w:rsid w:val="00A25891"/>
    <w:rsid w:val="00A420B8"/>
    <w:rsid w:val="00A44CBB"/>
    <w:rsid w:val="00A7377E"/>
    <w:rsid w:val="00A86318"/>
    <w:rsid w:val="00A96752"/>
    <w:rsid w:val="00AA606B"/>
    <w:rsid w:val="00AE3DC7"/>
    <w:rsid w:val="00B067A8"/>
    <w:rsid w:val="00B35531"/>
    <w:rsid w:val="00B5515F"/>
    <w:rsid w:val="00B56F74"/>
    <w:rsid w:val="00B74C67"/>
    <w:rsid w:val="00B77B2A"/>
    <w:rsid w:val="00BB76CA"/>
    <w:rsid w:val="00BC73B0"/>
    <w:rsid w:val="00BD1B8F"/>
    <w:rsid w:val="00BF484A"/>
    <w:rsid w:val="00C07182"/>
    <w:rsid w:val="00C11442"/>
    <w:rsid w:val="00C2212D"/>
    <w:rsid w:val="00C2704F"/>
    <w:rsid w:val="00C33E34"/>
    <w:rsid w:val="00C96548"/>
    <w:rsid w:val="00CB330B"/>
    <w:rsid w:val="00CC5B95"/>
    <w:rsid w:val="00CD19C5"/>
    <w:rsid w:val="00CD2D3A"/>
    <w:rsid w:val="00D1688C"/>
    <w:rsid w:val="00D22C4F"/>
    <w:rsid w:val="00D46BDA"/>
    <w:rsid w:val="00D53CF7"/>
    <w:rsid w:val="00D60383"/>
    <w:rsid w:val="00D64898"/>
    <w:rsid w:val="00D65A05"/>
    <w:rsid w:val="00DB37F5"/>
    <w:rsid w:val="00DB660C"/>
    <w:rsid w:val="00DC64DC"/>
    <w:rsid w:val="00DE3B0E"/>
    <w:rsid w:val="00DE5B24"/>
    <w:rsid w:val="00DF5220"/>
    <w:rsid w:val="00DF621B"/>
    <w:rsid w:val="00E00A1E"/>
    <w:rsid w:val="00E13CEE"/>
    <w:rsid w:val="00E158DE"/>
    <w:rsid w:val="00E16334"/>
    <w:rsid w:val="00E657D2"/>
    <w:rsid w:val="00E67559"/>
    <w:rsid w:val="00E70057"/>
    <w:rsid w:val="00E84F9D"/>
    <w:rsid w:val="00E90755"/>
    <w:rsid w:val="00E93513"/>
    <w:rsid w:val="00E94CF1"/>
    <w:rsid w:val="00EA3716"/>
    <w:rsid w:val="00EB4059"/>
    <w:rsid w:val="00ED38E6"/>
    <w:rsid w:val="00EE6686"/>
    <w:rsid w:val="00F16DBB"/>
    <w:rsid w:val="00F40AC1"/>
    <w:rsid w:val="00F4626A"/>
    <w:rsid w:val="00F7313F"/>
    <w:rsid w:val="00FA1570"/>
    <w:rsid w:val="00FB6FFC"/>
    <w:rsid w:val="00FC63EB"/>
    <w:rsid w:val="00FE4DED"/>
    <w:rsid w:val="00FF64D2"/>
    <w:rsid w:val="00FF71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9947</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2020-01-04T15:31:00Z</dcterms:created>
  <dcterms:modified xsi:type="dcterms:W3CDTF">2020-01-04T15:31:00Z</dcterms:modified>
</cp:coreProperties>
</file>