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122507" w:rsidRPr="00AB1278" w14:paraId="522B18A6" w14:textId="77777777" w:rsidTr="00122507">
        <w:trPr>
          <w:divId w:val="1347438940"/>
        </w:trPr>
        <w:tc>
          <w:tcPr>
            <w:tcW w:w="0" w:type="auto"/>
            <w:gridSpan w:val="2"/>
            <w:tcBorders>
              <w:bottom w:val="single" w:sz="6" w:space="0" w:color="2E74B5"/>
            </w:tcBorders>
            <w:tcMar>
              <w:top w:w="0" w:type="dxa"/>
              <w:left w:w="0" w:type="dxa"/>
              <w:bottom w:w="0" w:type="dxa"/>
              <w:right w:w="0" w:type="dxa"/>
            </w:tcMar>
            <w:hideMark/>
          </w:tcPr>
          <w:p w14:paraId="52E26435" w14:textId="77777777" w:rsidR="00122507" w:rsidRPr="00AB1278" w:rsidRDefault="00122507" w:rsidP="00307520">
            <w:pPr>
              <w:pStyle w:val="Heading1"/>
              <w:spacing w:after="20" w:afterAutospacing="0"/>
              <w:rPr>
                <w:rFonts w:ascii="Calibri" w:eastAsia="Times New Roman" w:hAnsi="Calibri" w:cs="Calibri"/>
                <w:caps/>
                <w:sz w:val="30"/>
                <w:szCs w:val="30"/>
                <w:lang w:val="en-US"/>
              </w:rPr>
            </w:pPr>
            <w:bookmarkStart w:id="0" w:name="_GoBack"/>
            <w:bookmarkEnd w:id="0"/>
            <w:r w:rsidRPr="00AB1278">
              <w:rPr>
                <w:rFonts w:ascii="Calibri" w:eastAsia="Times New Roman" w:hAnsi="Calibri" w:cs="Calibri"/>
                <w:caps/>
                <w:sz w:val="30"/>
                <w:szCs w:val="30"/>
                <w:lang w:val="en-US"/>
              </w:rPr>
              <w:t>Question</w:t>
            </w:r>
          </w:p>
        </w:tc>
      </w:tr>
      <w:tr w:rsidR="00122507" w:rsidRPr="00AB1278" w14:paraId="4EE51C1F" w14:textId="77777777" w:rsidTr="00122507">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5A5D7883" w14:textId="77777777" w:rsidR="00122507" w:rsidRPr="00AB1278" w:rsidRDefault="00122507" w:rsidP="00307520">
            <w:pPr>
              <w:pStyle w:val="NormalWeb"/>
              <w:spacing w:before="0" w:beforeAutospacing="0" w:after="0" w:afterAutospacing="0"/>
              <w:rPr>
                <w:rFonts w:ascii="Calibri" w:hAnsi="Calibri" w:cs="Calibri"/>
                <w:b/>
                <w:bCs/>
                <w:color w:val="FFFFFF"/>
                <w:sz w:val="28"/>
                <w:szCs w:val="28"/>
                <w:lang w:val="en-US"/>
              </w:rPr>
            </w:pPr>
          </w:p>
        </w:tc>
      </w:tr>
      <w:tr w:rsidR="00122507" w:rsidRPr="006D6A3E" w14:paraId="0212E446" w14:textId="77777777" w:rsidTr="00122507">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4674A5A2" w14:textId="77777777" w:rsidR="00122507" w:rsidRPr="00AB1278" w:rsidRDefault="00122507" w:rsidP="00307520">
            <w:pPr>
              <w:pStyle w:val="section-name"/>
              <w:spacing w:before="0" w:beforeAutospacing="0" w:after="0" w:afterAutospacing="0"/>
              <w:rPr>
                <w:rFonts w:ascii="Calibri" w:hAnsi="Calibri" w:cs="Calibri"/>
                <w:b/>
                <w:bCs/>
                <w:caps/>
                <w:color w:val="FFFFFF"/>
                <w:sz w:val="20"/>
                <w:szCs w:val="20"/>
                <w:lang w:val="en-US"/>
              </w:rPr>
            </w:pPr>
            <w:r w:rsidRPr="00AB1278">
              <w:rPr>
                <w:rFonts w:ascii="Calibri" w:hAnsi="Calibri" w:cs="Calibri"/>
                <w:b/>
                <w:bCs/>
                <w:caps/>
                <w:color w:val="FFFFFF"/>
                <w:sz w:val="20"/>
                <w:szCs w:val="20"/>
                <w:lang w:val="en-US"/>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D2F7498" w14:textId="77777777" w:rsidR="00122507" w:rsidRPr="00502E4B" w:rsidRDefault="00122507" w:rsidP="00122507">
            <w:pPr>
              <w:pStyle w:val="NormalWeb"/>
              <w:rPr>
                <w:rFonts w:asciiTheme="minorHAnsi" w:hAnsiTheme="minorHAnsi" w:cstheme="minorHAnsi"/>
                <w:sz w:val="16"/>
                <w:szCs w:val="16"/>
                <w:lang w:val="en-US"/>
              </w:rPr>
            </w:pPr>
            <w:r w:rsidRPr="00502E4B">
              <w:rPr>
                <w:rFonts w:asciiTheme="minorHAnsi" w:hAnsiTheme="minorHAnsi" w:cstheme="minorHAnsi"/>
                <w:sz w:val="16"/>
                <w:szCs w:val="16"/>
                <w:lang w:val="en-US"/>
              </w:rPr>
              <w:t>Adults in any setting (in-hospital or out-of-hospital) with cardiac arrest.</w:t>
            </w:r>
          </w:p>
          <w:p w14:paraId="0402FF90" w14:textId="43C745BD" w:rsidR="00122507" w:rsidRPr="00AB1278" w:rsidRDefault="00122507" w:rsidP="00307520">
            <w:pPr>
              <w:pStyle w:val="NormalWeb"/>
              <w:spacing w:before="0" w:beforeAutospacing="0" w:after="0" w:afterAutospacing="0" w:line="200" w:lineRule="atLeast"/>
              <w:rPr>
                <w:rFonts w:asciiTheme="minorHAnsi" w:hAnsiTheme="minorHAnsi" w:cstheme="minorHAnsi"/>
                <w:sz w:val="20"/>
                <w:szCs w:val="20"/>
                <w:lang w:val="en-US"/>
              </w:rPr>
            </w:pPr>
          </w:p>
        </w:tc>
      </w:tr>
      <w:tr w:rsidR="00122507" w:rsidRPr="006D6A3E" w14:paraId="058876E9" w14:textId="77777777" w:rsidTr="00122507">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29CC044F" w14:textId="77777777" w:rsidR="00122507" w:rsidRPr="00AB1278" w:rsidRDefault="00122507" w:rsidP="00307520">
            <w:pPr>
              <w:pStyle w:val="section-name"/>
              <w:spacing w:before="0" w:beforeAutospacing="0" w:after="0" w:afterAutospacing="0"/>
              <w:rPr>
                <w:rFonts w:ascii="Calibri" w:hAnsi="Calibri" w:cs="Calibri"/>
                <w:b/>
                <w:bCs/>
                <w:caps/>
                <w:color w:val="FFFFFF"/>
                <w:sz w:val="20"/>
                <w:szCs w:val="20"/>
                <w:lang w:val="en-US"/>
              </w:rPr>
            </w:pPr>
            <w:r w:rsidRPr="00AB1278">
              <w:rPr>
                <w:rFonts w:ascii="Calibri" w:hAnsi="Calibri" w:cs="Calibri"/>
                <w:b/>
                <w:bCs/>
                <w:caps/>
                <w:color w:val="FFFFFF"/>
                <w:sz w:val="20"/>
                <w:szCs w:val="20"/>
                <w:lang w:val="en-US"/>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F9D6BBF" w14:textId="77777777" w:rsidR="00122507" w:rsidRPr="00502E4B" w:rsidRDefault="00122507" w:rsidP="00122507">
            <w:pPr>
              <w:pStyle w:val="NormalWeb"/>
              <w:rPr>
                <w:rFonts w:asciiTheme="minorHAnsi" w:hAnsiTheme="minorHAnsi" w:cstheme="minorHAnsi"/>
                <w:sz w:val="16"/>
                <w:szCs w:val="16"/>
                <w:lang w:val="en-US"/>
              </w:rPr>
            </w:pPr>
            <w:r w:rsidRPr="00502E4B">
              <w:rPr>
                <w:rFonts w:asciiTheme="minorHAnsi" w:hAnsiTheme="minorHAnsi" w:cstheme="minorHAnsi"/>
                <w:sz w:val="16"/>
                <w:szCs w:val="16"/>
                <w:lang w:val="en-US"/>
              </w:rPr>
              <w:t>Placement of an intraosseous (IO) cannula and drug administration through this IO during cardiac arrest.</w:t>
            </w:r>
          </w:p>
          <w:p w14:paraId="12CE0AFE" w14:textId="4ECB3AF3" w:rsidR="00122507" w:rsidRPr="00AB1278" w:rsidRDefault="00122507" w:rsidP="00307520">
            <w:pPr>
              <w:pStyle w:val="NormalWeb"/>
              <w:spacing w:before="0" w:beforeAutospacing="0" w:after="0" w:afterAutospacing="0" w:line="200" w:lineRule="atLeast"/>
              <w:rPr>
                <w:rFonts w:asciiTheme="minorHAnsi" w:hAnsiTheme="minorHAnsi" w:cstheme="minorHAnsi"/>
                <w:sz w:val="20"/>
                <w:szCs w:val="20"/>
                <w:lang w:val="en-US"/>
              </w:rPr>
            </w:pPr>
          </w:p>
        </w:tc>
      </w:tr>
      <w:tr w:rsidR="00122507" w:rsidRPr="006D6A3E" w14:paraId="51D8F6C8" w14:textId="77777777" w:rsidTr="00122507">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5F468ACE" w14:textId="77777777" w:rsidR="00122507" w:rsidRPr="00AB1278" w:rsidRDefault="00122507" w:rsidP="00307520">
            <w:pPr>
              <w:pStyle w:val="section-name"/>
              <w:spacing w:before="0" w:beforeAutospacing="0" w:after="0" w:afterAutospacing="0"/>
              <w:rPr>
                <w:rFonts w:ascii="Calibri" w:hAnsi="Calibri" w:cs="Calibri"/>
                <w:b/>
                <w:bCs/>
                <w:caps/>
                <w:color w:val="FFFFFF"/>
                <w:sz w:val="20"/>
                <w:szCs w:val="20"/>
                <w:lang w:val="en-US"/>
              </w:rPr>
            </w:pPr>
            <w:r w:rsidRPr="00AB1278">
              <w:rPr>
                <w:rFonts w:ascii="Calibri" w:hAnsi="Calibri" w:cs="Calibri"/>
                <w:b/>
                <w:bCs/>
                <w:caps/>
                <w:color w:val="FFFFFF"/>
                <w:sz w:val="20"/>
                <w:szCs w:val="20"/>
                <w:lang w:val="en-US"/>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047E996" w14:textId="39DC61F0" w:rsidR="00122507" w:rsidRPr="00502E4B" w:rsidRDefault="00122507" w:rsidP="00307520">
            <w:pPr>
              <w:autoSpaceDE w:val="0"/>
              <w:autoSpaceDN w:val="0"/>
              <w:adjustRightInd w:val="0"/>
              <w:spacing w:after="0" w:line="480" w:lineRule="auto"/>
              <w:rPr>
                <w:rFonts w:cstheme="minorHAnsi"/>
                <w:sz w:val="16"/>
                <w:szCs w:val="16"/>
                <w:lang w:val="en-US"/>
              </w:rPr>
            </w:pPr>
            <w:r w:rsidRPr="006D6A3E">
              <w:rPr>
                <w:rFonts w:cstheme="minorHAnsi"/>
                <w:sz w:val="16"/>
                <w:szCs w:val="16"/>
                <w:lang w:val="en-US"/>
              </w:rPr>
              <w:t>Placement of an intravenous (IV) cannula and drug administration through this IV during cardiac arrest.</w:t>
            </w:r>
          </w:p>
        </w:tc>
      </w:tr>
      <w:tr w:rsidR="00122507" w:rsidRPr="006D6A3E" w14:paraId="7F20DB5D" w14:textId="77777777" w:rsidTr="00122507">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B8047F4" w14:textId="77777777" w:rsidR="00122507" w:rsidRPr="00AB1278" w:rsidRDefault="00122507" w:rsidP="00307520">
            <w:pPr>
              <w:pStyle w:val="section-name"/>
              <w:spacing w:before="0" w:beforeAutospacing="0" w:after="0" w:afterAutospacing="0"/>
              <w:rPr>
                <w:rFonts w:ascii="Calibri" w:hAnsi="Calibri" w:cs="Calibri"/>
                <w:b/>
                <w:bCs/>
                <w:caps/>
                <w:color w:val="FFFFFF"/>
                <w:sz w:val="20"/>
                <w:szCs w:val="20"/>
                <w:lang w:val="en-US"/>
              </w:rPr>
            </w:pPr>
            <w:r w:rsidRPr="00AB1278">
              <w:rPr>
                <w:rFonts w:ascii="Calibri" w:hAnsi="Calibri" w:cs="Calibri"/>
                <w:b/>
                <w:bCs/>
                <w:caps/>
                <w:color w:val="FFFFFF"/>
                <w:sz w:val="20"/>
                <w:szCs w:val="20"/>
                <w:lang w:val="en-US"/>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3550154" w14:textId="734B3CEC" w:rsidR="00122507" w:rsidRPr="00AB1278" w:rsidRDefault="00E87BD8" w:rsidP="00E87BD8">
            <w:pPr>
              <w:pStyle w:val="NormalWeb"/>
              <w:rPr>
                <w:rFonts w:eastAsia="Times New Roman" w:cstheme="minorHAnsi"/>
                <w:sz w:val="20"/>
                <w:szCs w:val="20"/>
                <w:lang w:val="en-US"/>
              </w:rPr>
            </w:pPr>
            <w:r>
              <w:rPr>
                <w:rFonts w:asciiTheme="minorHAnsi" w:hAnsiTheme="minorHAnsi" w:cstheme="minorHAnsi"/>
                <w:sz w:val="16"/>
                <w:szCs w:val="16"/>
                <w:lang w:val="en-US"/>
              </w:rPr>
              <w:t>R</w:t>
            </w:r>
            <w:r w:rsidR="00F6580D" w:rsidRPr="00F6580D">
              <w:rPr>
                <w:rFonts w:asciiTheme="minorHAnsi" w:hAnsiTheme="minorHAnsi" w:cstheme="minorHAnsi"/>
                <w:sz w:val="16"/>
                <w:szCs w:val="16"/>
                <w:lang w:val="en-US"/>
              </w:rPr>
              <w:t>eturn of spontaneous circulation</w:t>
            </w:r>
            <w:r>
              <w:rPr>
                <w:rFonts w:asciiTheme="minorHAnsi" w:hAnsiTheme="minorHAnsi" w:cstheme="minorHAnsi"/>
                <w:sz w:val="16"/>
                <w:szCs w:val="16"/>
                <w:lang w:val="en-US"/>
              </w:rPr>
              <w:t xml:space="preserve">, </w:t>
            </w:r>
            <w:r w:rsidR="00F6580D" w:rsidRPr="00F6580D">
              <w:rPr>
                <w:rFonts w:asciiTheme="minorHAnsi" w:hAnsiTheme="minorHAnsi" w:cstheme="minorHAnsi"/>
                <w:sz w:val="16"/>
                <w:szCs w:val="16"/>
                <w:lang w:val="en-US"/>
              </w:rPr>
              <w:t>survival</w:t>
            </w:r>
            <w:r>
              <w:rPr>
                <w:rFonts w:asciiTheme="minorHAnsi" w:hAnsiTheme="minorHAnsi" w:cstheme="minorHAnsi"/>
                <w:sz w:val="16"/>
                <w:szCs w:val="16"/>
                <w:lang w:val="en-US"/>
              </w:rPr>
              <w:t xml:space="preserve"> to hospital discharge, and </w:t>
            </w:r>
            <w:r w:rsidR="00F6580D" w:rsidRPr="00F6580D">
              <w:rPr>
                <w:rFonts w:asciiTheme="minorHAnsi" w:hAnsiTheme="minorHAnsi" w:cstheme="minorHAnsi"/>
                <w:sz w:val="16"/>
                <w:szCs w:val="16"/>
                <w:lang w:val="en-US"/>
              </w:rPr>
              <w:t xml:space="preserve">survival </w:t>
            </w:r>
            <w:r>
              <w:rPr>
                <w:rFonts w:asciiTheme="minorHAnsi" w:hAnsiTheme="minorHAnsi" w:cstheme="minorHAnsi"/>
                <w:sz w:val="16"/>
                <w:szCs w:val="16"/>
                <w:lang w:val="en-US"/>
              </w:rPr>
              <w:t xml:space="preserve">to hospital discharge </w:t>
            </w:r>
            <w:r w:rsidR="00F6580D" w:rsidRPr="00F6580D">
              <w:rPr>
                <w:rFonts w:asciiTheme="minorHAnsi" w:hAnsiTheme="minorHAnsi" w:cstheme="minorHAnsi"/>
                <w:sz w:val="16"/>
                <w:szCs w:val="16"/>
                <w:lang w:val="en-US"/>
              </w:rPr>
              <w:t>with a favorable neurological outcome</w:t>
            </w:r>
            <w:r>
              <w:rPr>
                <w:rFonts w:asciiTheme="minorHAnsi" w:hAnsiTheme="minorHAnsi" w:cstheme="minorHAnsi"/>
                <w:sz w:val="16"/>
                <w:szCs w:val="16"/>
                <w:lang w:val="en-US"/>
              </w:rPr>
              <w:t>.</w:t>
            </w:r>
          </w:p>
        </w:tc>
      </w:tr>
    </w:tbl>
    <w:p w14:paraId="6320A429" w14:textId="1A1785B9" w:rsidR="000526C3" w:rsidRDefault="00CD2D3A">
      <w:pPr>
        <w:pStyle w:val="Heading1"/>
        <w:spacing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3147"/>
        <w:gridCol w:w="8698"/>
        <w:gridCol w:w="2539"/>
      </w:tblGrid>
      <w:tr w:rsidR="000526C3" w:rsidRPr="006D6A3E"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6D6A3E"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CD2D3A" w:rsidRDefault="00045AFF">
            <w:pPr>
              <w:divId w:val="31591581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3207F1B9" w:rsidR="000526C3" w:rsidRPr="00CD2D3A" w:rsidRDefault="00045AFF" w:rsidP="007A21F6">
            <w:pPr>
              <w:divId w:val="1440222988"/>
              <w:rPr>
                <w:rFonts w:ascii="Calibri" w:eastAsia="Times New Roman" w:hAnsi="Calibri" w:cs="Calibri"/>
                <w:sz w:val="16"/>
                <w:szCs w:val="16"/>
                <w:lang w:val="en-US"/>
              </w:rPr>
            </w:pPr>
            <w:r w:rsidRPr="00CD2D3A">
              <w:rPr>
                <w:rFonts w:ascii="Calibri" w:eastAsia="Times New Roman" w:hAnsi="Calibri" w:cs="Calibri"/>
                <w:sz w:val="16"/>
                <w:szCs w:val="16"/>
                <w:lang w:val="en-US"/>
              </w:rPr>
              <w:t>Cardiac arrest, both in the out-of-hospital and in-hospital setting, is relatively common and has a very high mortality. Certain drugs (</w:t>
            </w:r>
            <w:r w:rsidR="004247D5">
              <w:rPr>
                <w:rFonts w:ascii="Calibri" w:eastAsia="Times New Roman" w:hAnsi="Calibri" w:cs="Calibri"/>
                <w:sz w:val="16"/>
                <w:szCs w:val="16"/>
                <w:lang w:val="en-US"/>
              </w:rPr>
              <w:t>epinephrine</w:t>
            </w:r>
            <w:r w:rsidRPr="00CD2D3A">
              <w:rPr>
                <w:rFonts w:ascii="Calibri" w:eastAsia="Times New Roman" w:hAnsi="Calibri" w:cs="Calibri"/>
                <w:sz w:val="16"/>
                <w:szCs w:val="16"/>
                <w:lang w:val="en-US"/>
              </w:rPr>
              <w:t>, amiodarone, lidocaine) are suggested/recommended during cardiac arrest in order to improve patient outcome. However, it can often be difficult to obtain intravascular access</w:t>
            </w:r>
            <w:r w:rsidR="00834352">
              <w:rPr>
                <w:rFonts w:ascii="Calibri" w:eastAsia="Times New Roman" w:hAnsi="Calibri" w:cs="Calibri"/>
                <w:sz w:val="16"/>
                <w:szCs w:val="16"/>
                <w:lang w:val="en-US"/>
              </w:rPr>
              <w:t xml:space="preserve"> </w:t>
            </w:r>
            <w:r w:rsidR="00834352" w:rsidRPr="00CD2D3A">
              <w:rPr>
                <w:rFonts w:ascii="Calibri" w:eastAsia="Times New Roman" w:hAnsi="Calibri" w:cs="Calibri"/>
                <w:sz w:val="16"/>
                <w:szCs w:val="16"/>
                <w:lang w:val="en-US"/>
              </w:rPr>
              <w:t xml:space="preserve">especially in the </w:t>
            </w:r>
            <w:r w:rsidR="00834352">
              <w:rPr>
                <w:rFonts w:ascii="Calibri" w:eastAsia="Times New Roman" w:hAnsi="Calibri" w:cs="Calibri"/>
                <w:sz w:val="16"/>
                <w:szCs w:val="16"/>
                <w:lang w:val="en-US"/>
              </w:rPr>
              <w:t>prehospital</w:t>
            </w:r>
            <w:r w:rsidR="00834352" w:rsidRPr="00CD2D3A">
              <w:rPr>
                <w:rFonts w:ascii="Calibri" w:eastAsia="Times New Roman" w:hAnsi="Calibri" w:cs="Calibri"/>
                <w:sz w:val="16"/>
                <w:szCs w:val="16"/>
                <w:lang w:val="en-US"/>
              </w:rPr>
              <w:t xml:space="preserve"> setting</w:t>
            </w:r>
            <w:r w:rsidRPr="00CD2D3A">
              <w:rPr>
                <w:rFonts w:ascii="Calibri" w:eastAsia="Times New Roman" w:hAnsi="Calibri" w:cs="Calibri"/>
                <w:sz w:val="16"/>
                <w:szCs w:val="16"/>
                <w:lang w:val="en-US"/>
              </w:rPr>
              <w:t xml:space="preserve">. Intraosseous </w:t>
            </w:r>
            <w:r w:rsidR="007A21F6" w:rsidRPr="00CD2D3A">
              <w:rPr>
                <w:rFonts w:ascii="Calibri" w:eastAsia="Times New Roman" w:hAnsi="Calibri" w:cs="Calibri"/>
                <w:sz w:val="16"/>
                <w:szCs w:val="16"/>
                <w:lang w:val="en-US"/>
              </w:rPr>
              <w:t xml:space="preserve">(IO) </w:t>
            </w:r>
            <w:r w:rsidRPr="00CD2D3A">
              <w:rPr>
                <w:rFonts w:ascii="Calibri" w:eastAsia="Times New Roman" w:hAnsi="Calibri" w:cs="Calibri"/>
                <w:sz w:val="16"/>
                <w:szCs w:val="16"/>
                <w:lang w:val="en-US"/>
              </w:rPr>
              <w:t xml:space="preserve">access </w:t>
            </w:r>
            <w:r w:rsidR="00834352">
              <w:rPr>
                <w:rFonts w:ascii="Calibri" w:eastAsia="Times New Roman" w:hAnsi="Calibri" w:cs="Calibri"/>
                <w:sz w:val="16"/>
                <w:szCs w:val="16"/>
                <w:lang w:val="en-US"/>
              </w:rPr>
              <w:t>as</w:t>
            </w:r>
            <w:r w:rsidR="00834352" w:rsidRPr="00CD2D3A">
              <w:rPr>
                <w:rFonts w:ascii="Calibri" w:eastAsia="Times New Roman" w:hAnsi="Calibri" w:cs="Calibri"/>
                <w:sz w:val="16"/>
                <w:szCs w:val="16"/>
                <w:lang w:val="en-US"/>
              </w:rPr>
              <w:t xml:space="preserve"> </w:t>
            </w:r>
            <w:r w:rsidRPr="00CD2D3A">
              <w:rPr>
                <w:rFonts w:ascii="Calibri" w:eastAsia="Times New Roman" w:hAnsi="Calibri" w:cs="Calibri"/>
                <w:sz w:val="16"/>
                <w:szCs w:val="16"/>
                <w:lang w:val="en-US"/>
              </w:rPr>
              <w:t xml:space="preserve">an alternative to intravenous (IV) access is increasingly used during cardiac arrest. However, whether drugs are as effective when administered IO vs. IV is unknown.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4F5A7401" w:rsidR="000526C3" w:rsidRPr="00CD2D3A" w:rsidRDefault="00045AFF">
            <w:pPr>
              <w:divId w:val="749501731"/>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A number of observational studies </w:t>
            </w:r>
            <w:r w:rsidR="00B067A8" w:rsidRPr="00CD2D3A">
              <w:rPr>
                <w:rFonts w:ascii="Calibri" w:eastAsia="Times New Roman" w:hAnsi="Calibri" w:cs="Calibri"/>
                <w:sz w:val="16"/>
                <w:szCs w:val="16"/>
                <w:lang w:val="en-US"/>
              </w:rPr>
              <w:t>addressing</w:t>
            </w:r>
            <w:r w:rsidRPr="00CD2D3A">
              <w:rPr>
                <w:rFonts w:ascii="Calibri" w:eastAsia="Times New Roman" w:hAnsi="Calibri" w:cs="Calibri"/>
                <w:sz w:val="16"/>
                <w:szCs w:val="16"/>
                <w:lang w:val="en-US"/>
              </w:rPr>
              <w:t xml:space="preserve"> this topic has been published within the last years.</w:t>
            </w:r>
          </w:p>
        </w:tc>
      </w:tr>
      <w:tr w:rsidR="000526C3" w:rsidRPr="006D6A3E"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0526C3"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6D6A3E" w14:paraId="3DADA2C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4DE31" w14:textId="582D71CD" w:rsidR="000526C3" w:rsidRPr="00CD2D3A" w:rsidRDefault="00D65A05">
            <w:pPr>
              <w:divId w:val="814834836"/>
              <w:rPr>
                <w:rFonts w:ascii="Calibri" w:eastAsia="Times New Roman" w:hAnsi="Calibri" w:cs="Calibri"/>
                <w:sz w:val="16"/>
                <w:szCs w:val="16"/>
                <w:lang w:val="en-US"/>
              </w:rPr>
            </w:pPr>
            <w:r w:rsidRPr="00CD2D3A">
              <w:rPr>
                <w:rStyle w:val="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Trivial</w:t>
            </w:r>
            <w:r w:rsidR="00045AFF"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Small</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Moderate</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Large</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Varies</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Don't know</w:t>
            </w:r>
            <w:r w:rsidR="00045AFF"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3CCBF3" w14:textId="1EE9D49A" w:rsidR="000526C3" w:rsidRPr="00CD2D3A" w:rsidRDefault="00045AFF">
            <w:pPr>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Use of IO access might result in </w:t>
            </w:r>
            <w:r w:rsidR="00B067A8">
              <w:rPr>
                <w:rFonts w:ascii="Calibri" w:eastAsia="Times New Roman" w:hAnsi="Calibri" w:cs="Calibri"/>
                <w:sz w:val="16"/>
                <w:szCs w:val="16"/>
                <w:lang w:val="en-US"/>
              </w:rPr>
              <w:t>faster drug delivery</w:t>
            </w:r>
            <w:r w:rsidR="007067BF">
              <w:rPr>
                <w:rFonts w:ascii="Calibri" w:eastAsia="Times New Roman" w:hAnsi="Calibri" w:cs="Calibri"/>
                <w:sz w:val="16"/>
                <w:szCs w:val="16"/>
                <w:lang w:val="en-US"/>
              </w:rPr>
              <w:t xml:space="preserve"> (Reades 2011 509)</w:t>
            </w:r>
            <w:r w:rsidR="00652999">
              <w:rPr>
                <w:rFonts w:ascii="Calibri" w:eastAsia="Times New Roman" w:hAnsi="Calibri" w:cs="Calibri"/>
                <w:sz w:val="16"/>
                <w:szCs w:val="16"/>
                <w:lang w:val="en-US"/>
              </w:rPr>
              <w:t xml:space="preserve"> </w:t>
            </w:r>
            <w:r w:rsidR="00B067A8">
              <w:rPr>
                <w:rFonts w:ascii="Calibri" w:eastAsia="Times New Roman" w:hAnsi="Calibri" w:cs="Calibri"/>
                <w:sz w:val="16"/>
                <w:szCs w:val="16"/>
                <w:lang w:val="en-US"/>
              </w:rPr>
              <w:t>which could lead to improved outcomes</w:t>
            </w:r>
            <w:r w:rsidRPr="00CD2D3A">
              <w:rPr>
                <w:rFonts w:ascii="Calibri" w:eastAsia="Times New Roman" w:hAnsi="Calibri" w:cs="Calibri"/>
                <w:sz w:val="16"/>
                <w:szCs w:val="16"/>
                <w:lang w:val="en-US"/>
              </w:rPr>
              <w:t>.</w:t>
            </w:r>
            <w:r w:rsidR="00D65A05">
              <w:rPr>
                <w:rFonts w:ascii="Calibri" w:eastAsia="Times New Roman" w:hAnsi="Calibri" w:cs="Calibri"/>
                <w:sz w:val="16"/>
                <w:szCs w:val="16"/>
                <w:lang w:val="en-US"/>
              </w:rPr>
              <w:t xml:space="preserve"> Furthermore, when IV access is not possible, IO access can facilitate drug administration. </w:t>
            </w:r>
          </w:p>
          <w:p w14:paraId="730E6FC6" w14:textId="30E5631A" w:rsidR="00D65A05" w:rsidRPr="00CD2D3A" w:rsidRDefault="00045AFF">
            <w:pPr>
              <w:rPr>
                <w:rFonts w:ascii="Calibri" w:eastAsia="Times New Roman" w:hAnsi="Calibri" w:cs="Calibri"/>
                <w:sz w:val="16"/>
                <w:szCs w:val="16"/>
                <w:lang w:val="en-US"/>
              </w:rPr>
            </w:pPr>
            <w:r w:rsidRPr="00001483">
              <w:rPr>
                <w:rFonts w:ascii="Calibri" w:eastAsia="Times New Roman" w:hAnsi="Calibri" w:cs="Calibri"/>
                <w:sz w:val="16"/>
                <w:szCs w:val="16"/>
                <w:lang w:val="en-US"/>
              </w:rPr>
              <w:t xml:space="preserve">The </w:t>
            </w:r>
            <w:r w:rsidR="00834352" w:rsidRPr="00001483">
              <w:rPr>
                <w:rFonts w:ascii="Calibri" w:eastAsia="Times New Roman" w:hAnsi="Calibri" w:cs="Calibri"/>
                <w:sz w:val="16"/>
                <w:szCs w:val="16"/>
                <w:lang w:val="en-US"/>
              </w:rPr>
              <w:t xml:space="preserve">survival to hospital discharge </w:t>
            </w:r>
            <w:r w:rsidRPr="00001483">
              <w:rPr>
                <w:rFonts w:ascii="Calibri" w:eastAsia="Times New Roman" w:hAnsi="Calibri" w:cs="Calibri"/>
                <w:sz w:val="16"/>
                <w:szCs w:val="16"/>
                <w:lang w:val="en-US"/>
              </w:rPr>
              <w:t xml:space="preserve">outcome </w:t>
            </w:r>
            <w:r w:rsidR="00001483" w:rsidRPr="005720B0">
              <w:rPr>
                <w:rFonts w:ascii="Calibri" w:eastAsia="Times New Roman" w:hAnsi="Calibri" w:cs="Calibri"/>
                <w:sz w:val="16"/>
                <w:szCs w:val="16"/>
                <w:lang w:val="en-US"/>
              </w:rPr>
              <w:t>is</w:t>
            </w:r>
            <w:r w:rsidR="00001483" w:rsidRPr="00001483">
              <w:rPr>
                <w:rFonts w:ascii="Calibri" w:eastAsia="Times New Roman" w:hAnsi="Calibri" w:cs="Calibri"/>
                <w:sz w:val="16"/>
                <w:szCs w:val="16"/>
                <w:lang w:val="en-US"/>
              </w:rPr>
              <w:t xml:space="preserve"> </w:t>
            </w:r>
            <w:r w:rsidRPr="00001483">
              <w:rPr>
                <w:rFonts w:ascii="Calibri" w:eastAsia="Times New Roman" w:hAnsi="Calibri" w:cs="Calibri"/>
                <w:sz w:val="16"/>
                <w:szCs w:val="16"/>
                <w:lang w:val="en-US"/>
              </w:rPr>
              <w:t>considered critical.</w:t>
            </w:r>
            <w:r w:rsidRPr="00CD2D3A">
              <w:rPr>
                <w:rFonts w:ascii="Calibri" w:eastAsia="Times New Roman" w:hAnsi="Calibri" w:cs="Calibri"/>
                <w:sz w:val="16"/>
                <w:szCs w:val="16"/>
                <w:lang w:val="en-US"/>
              </w:rPr>
              <w:t xml:space="preserve"> Given that the effect of drugs during cardiac arrest</w:t>
            </w:r>
            <w:r w:rsidR="00145E59">
              <w:rPr>
                <w:rFonts w:ascii="Calibri" w:eastAsia="Times New Roman" w:hAnsi="Calibri" w:cs="Calibri"/>
                <w:sz w:val="16"/>
                <w:szCs w:val="16"/>
                <w:lang w:val="en-US"/>
              </w:rPr>
              <w:t xml:space="preserve"> on </w:t>
            </w:r>
            <w:r w:rsidR="00001483">
              <w:rPr>
                <w:rFonts w:ascii="Calibri" w:eastAsia="Times New Roman" w:hAnsi="Calibri" w:cs="Calibri"/>
                <w:sz w:val="16"/>
                <w:szCs w:val="16"/>
                <w:lang w:val="en-US"/>
              </w:rPr>
              <w:t xml:space="preserve">this </w:t>
            </w:r>
            <w:r w:rsidR="00145E59">
              <w:rPr>
                <w:rFonts w:ascii="Calibri" w:eastAsia="Times New Roman" w:hAnsi="Calibri" w:cs="Calibri"/>
                <w:sz w:val="16"/>
                <w:szCs w:val="16"/>
                <w:lang w:val="en-US"/>
              </w:rPr>
              <w:t>outcome</w:t>
            </w:r>
            <w:r w:rsidRPr="00CD2D3A">
              <w:rPr>
                <w:rFonts w:ascii="Calibri" w:eastAsia="Times New Roman" w:hAnsi="Calibri" w:cs="Calibri"/>
                <w:sz w:val="16"/>
                <w:szCs w:val="16"/>
                <w:lang w:val="en-US"/>
              </w:rPr>
              <w:t xml:space="preserve"> is likely small</w:t>
            </w:r>
            <w:r w:rsidR="00EB10E2">
              <w:rPr>
                <w:rFonts w:ascii="Calibri" w:eastAsia="Times New Roman" w:hAnsi="Calibri" w:cs="Calibri"/>
                <w:sz w:val="16"/>
                <w:szCs w:val="16"/>
                <w:lang w:val="en-US"/>
              </w:rPr>
              <w:t xml:space="preserve"> (</w:t>
            </w:r>
            <w:r w:rsidR="00162AA0">
              <w:rPr>
                <w:rFonts w:ascii="Calibri" w:eastAsia="Times New Roman" w:hAnsi="Calibri" w:cs="Calibri"/>
                <w:sz w:val="16"/>
                <w:szCs w:val="16"/>
                <w:lang w:val="en-US"/>
              </w:rPr>
              <w:t>Holmberg 2019 111</w:t>
            </w:r>
            <w:r w:rsidR="00113FD5">
              <w:rPr>
                <w:rFonts w:ascii="Calibri" w:eastAsia="Times New Roman" w:hAnsi="Calibri" w:cs="Calibri"/>
                <w:sz w:val="16"/>
                <w:szCs w:val="16"/>
                <w:lang w:val="en-US"/>
              </w:rPr>
              <w:t>; Ali 2018 63</w:t>
            </w:r>
            <w:r w:rsidR="00EB10E2">
              <w:rPr>
                <w:rFonts w:ascii="Calibri" w:eastAsia="Times New Roman" w:hAnsi="Calibri" w:cs="Calibri"/>
                <w:sz w:val="16"/>
                <w:szCs w:val="16"/>
                <w:lang w:val="en-US"/>
              </w:rPr>
              <w:t>)</w:t>
            </w:r>
            <w:r w:rsidR="00F27E5E">
              <w:rPr>
                <w:rFonts w:ascii="Calibri" w:eastAsia="Times New Roman" w:hAnsi="Calibri" w:cs="Calibri"/>
                <w:sz w:val="16"/>
                <w:szCs w:val="16"/>
                <w:lang w:val="en-US"/>
              </w:rPr>
              <w:t>,</w:t>
            </w:r>
            <w:r w:rsidRPr="00CD2D3A">
              <w:rPr>
                <w:rFonts w:ascii="Calibri" w:eastAsia="Times New Roman" w:hAnsi="Calibri" w:cs="Calibri"/>
                <w:sz w:val="16"/>
                <w:szCs w:val="16"/>
                <w:lang w:val="en-US"/>
              </w:rPr>
              <w:t xml:space="preserve"> any difference in </w:t>
            </w:r>
            <w:r w:rsidR="00145E59">
              <w:rPr>
                <w:rFonts w:ascii="Calibri" w:eastAsia="Times New Roman" w:hAnsi="Calibri" w:cs="Calibri"/>
                <w:sz w:val="16"/>
                <w:szCs w:val="16"/>
                <w:lang w:val="en-US"/>
              </w:rPr>
              <w:t xml:space="preserve">critical </w:t>
            </w:r>
            <w:r w:rsidRPr="00CD2D3A">
              <w:rPr>
                <w:rFonts w:ascii="Calibri" w:eastAsia="Times New Roman" w:hAnsi="Calibri" w:cs="Calibri"/>
                <w:sz w:val="16"/>
                <w:szCs w:val="16"/>
                <w:lang w:val="en-US"/>
              </w:rPr>
              <w:t>outcome</w:t>
            </w:r>
            <w:r w:rsidR="00001483">
              <w:rPr>
                <w:rFonts w:ascii="Calibri" w:eastAsia="Times New Roman" w:hAnsi="Calibri" w:cs="Calibri"/>
                <w:sz w:val="16"/>
                <w:szCs w:val="16"/>
                <w:lang w:val="en-US"/>
              </w:rPr>
              <w:t>s</w:t>
            </w:r>
            <w:r w:rsidRPr="00CD2D3A">
              <w:rPr>
                <w:rFonts w:ascii="Calibri" w:eastAsia="Times New Roman" w:hAnsi="Calibri" w:cs="Calibri"/>
                <w:sz w:val="16"/>
                <w:szCs w:val="16"/>
                <w:lang w:val="en-US"/>
              </w:rPr>
              <w:t xml:space="preserve"> between IO and IV drug administration is likely to be small. </w:t>
            </w:r>
            <w:r w:rsidR="00D65A05">
              <w:rPr>
                <w:rFonts w:ascii="Calibri" w:eastAsia="Times New Roman" w:hAnsi="Calibri" w:cs="Calibri"/>
                <w:sz w:val="16"/>
                <w:szCs w:val="16"/>
                <w:lang w:val="en-US"/>
              </w:rPr>
              <w:t xml:space="preserve">The findings from observational studies (see table below) do not indicate that there is any desirable effect of IO access. </w:t>
            </w:r>
          </w:p>
          <w:tbl>
            <w:tblPr>
              <w:tblW w:w="5000" w:type="pct"/>
              <w:tblBorders>
                <w:top w:val="single" w:sz="12" w:space="0" w:color="000000"/>
                <w:bottom w:val="single" w:sz="12" w:space="0" w:color="000000"/>
              </w:tblBorders>
              <w:tblCellMar>
                <w:top w:w="15" w:type="dxa"/>
                <w:left w:w="15" w:type="dxa"/>
                <w:bottom w:w="15" w:type="dxa"/>
                <w:right w:w="15" w:type="dxa"/>
              </w:tblCellMar>
              <w:tblLook w:val="04A0" w:firstRow="1" w:lastRow="0" w:firstColumn="1" w:lastColumn="0" w:noHBand="0" w:noVBand="1"/>
            </w:tblPr>
            <w:tblGrid>
              <w:gridCol w:w="1726"/>
              <w:gridCol w:w="1561"/>
              <w:gridCol w:w="1416"/>
              <w:gridCol w:w="991"/>
              <w:gridCol w:w="1135"/>
              <w:gridCol w:w="1703"/>
            </w:tblGrid>
            <w:tr w:rsidR="000526C3" w14:paraId="2FF1D9AC" w14:textId="77777777" w:rsidTr="00B067A8">
              <w:trPr>
                <w:divId w:val="1716201253"/>
                <w:tblHeader/>
              </w:trPr>
              <w:tc>
                <w:tcPr>
                  <w:tcW w:w="1011" w:type="pct"/>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0F4169B3" w14:textId="77777777" w:rsidR="000526C3" w:rsidRPr="00D65A05" w:rsidRDefault="00045AFF">
                  <w:pPr>
                    <w:rPr>
                      <w:rFonts w:ascii="Times New Roman" w:eastAsia="Times New Roman" w:hAnsi="Times New Roman" w:cs="Times New Roman"/>
                      <w:b/>
                      <w:bCs/>
                      <w:color w:val="FFFFFF"/>
                      <w:sz w:val="16"/>
                      <w:szCs w:val="16"/>
                      <w:lang w:val="en-US"/>
                    </w:rPr>
                  </w:pPr>
                  <w:r w:rsidRPr="00D65A05">
                    <w:rPr>
                      <w:rFonts w:eastAsia="Times New Roman"/>
                      <w:b/>
                      <w:bCs/>
                      <w:color w:val="FFFFFF"/>
                      <w:sz w:val="16"/>
                      <w:szCs w:val="16"/>
                      <w:lang w:val="en-US"/>
                    </w:rPr>
                    <w:t>Outcomes</w:t>
                  </w:r>
                </w:p>
              </w:tc>
              <w:tc>
                <w:tcPr>
                  <w:tcW w:w="915" w:type="pct"/>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5B80B22C" w14:textId="77777777" w:rsidR="000526C3" w:rsidRPr="00CD2D3A" w:rsidRDefault="00045AFF">
                  <w:pPr>
                    <w:rPr>
                      <w:rFonts w:eastAsia="Times New Roman"/>
                      <w:b/>
                      <w:bCs/>
                      <w:color w:val="FFFFFF"/>
                      <w:sz w:val="16"/>
                      <w:szCs w:val="16"/>
                      <w:lang w:val="en-US"/>
                    </w:rPr>
                  </w:pPr>
                  <w:r w:rsidRPr="00CD2D3A">
                    <w:rPr>
                      <w:rFonts w:eastAsia="Times New Roman"/>
                      <w:b/>
                      <w:bCs/>
                      <w:color w:val="FFFFFF"/>
                      <w:sz w:val="16"/>
                      <w:szCs w:val="16"/>
                      <w:lang w:val="en-US"/>
                    </w:rPr>
                    <w:t>№ of participants</w:t>
                  </w:r>
                  <w:r w:rsidRPr="00CD2D3A">
                    <w:rPr>
                      <w:rFonts w:eastAsia="Times New Roman"/>
                      <w:b/>
                      <w:bCs/>
                      <w:color w:val="FFFFFF"/>
                      <w:sz w:val="16"/>
                      <w:szCs w:val="16"/>
                      <w:lang w:val="en-US"/>
                    </w:rPr>
                    <w:br/>
                    <w:t>(studies)</w:t>
                  </w:r>
                  <w:r w:rsidRPr="00CD2D3A">
                    <w:rPr>
                      <w:rFonts w:eastAsia="Times New Roman"/>
                      <w:b/>
                      <w:bCs/>
                      <w:color w:val="FFFFFF"/>
                      <w:sz w:val="16"/>
                      <w:szCs w:val="16"/>
                      <w:lang w:val="en-US"/>
                    </w:rPr>
                    <w:br/>
                    <w:t>Follow up</w:t>
                  </w:r>
                </w:p>
              </w:tc>
              <w:tc>
                <w:tcPr>
                  <w:tcW w:w="830" w:type="pct"/>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3401A06" w14:textId="77777777" w:rsidR="000526C3" w:rsidRPr="00CD2D3A" w:rsidRDefault="00045AFF">
                  <w:pPr>
                    <w:rPr>
                      <w:rFonts w:eastAsia="Times New Roman"/>
                      <w:b/>
                      <w:bCs/>
                      <w:color w:val="FFFFFF"/>
                      <w:sz w:val="16"/>
                      <w:szCs w:val="16"/>
                      <w:lang w:val="en-US"/>
                    </w:rPr>
                  </w:pPr>
                  <w:r w:rsidRPr="00CD2D3A">
                    <w:rPr>
                      <w:rFonts w:eastAsia="Times New Roman"/>
                      <w:b/>
                      <w:bCs/>
                      <w:color w:val="FFFFFF"/>
                      <w:sz w:val="16"/>
                      <w:szCs w:val="16"/>
                      <w:lang w:val="en-US"/>
                    </w:rPr>
                    <w:t>Certainty of the evidence</w:t>
                  </w:r>
                  <w:r w:rsidRPr="00CD2D3A">
                    <w:rPr>
                      <w:rFonts w:eastAsia="Times New Roman"/>
                      <w:b/>
                      <w:bCs/>
                      <w:color w:val="FFFFFF"/>
                      <w:sz w:val="16"/>
                      <w:szCs w:val="16"/>
                      <w:lang w:val="en-US"/>
                    </w:rPr>
                    <w:br/>
                    <w:t>(GRADE)</w:t>
                  </w:r>
                </w:p>
              </w:tc>
              <w:tc>
                <w:tcPr>
                  <w:tcW w:w="581" w:type="pct"/>
                  <w:vMerge w:val="restart"/>
                  <w:tcBorders>
                    <w:top w:val="single" w:sz="6" w:space="0" w:color="BFBFBF"/>
                    <w:left w:val="single" w:sz="6" w:space="0" w:color="BFBFBF"/>
                    <w:bottom w:val="single" w:sz="6" w:space="0" w:color="BFBFBF"/>
                    <w:right w:val="single" w:sz="6" w:space="0" w:color="BFBFBF"/>
                  </w:tcBorders>
                  <w:shd w:val="clear" w:color="auto" w:fill="3271AA"/>
                  <w:tcMar>
                    <w:top w:w="75" w:type="dxa"/>
                    <w:left w:w="75" w:type="dxa"/>
                    <w:bottom w:w="75" w:type="dxa"/>
                    <w:right w:w="75" w:type="dxa"/>
                  </w:tcMar>
                  <w:hideMark/>
                </w:tcPr>
                <w:p w14:paraId="7D33426D" w14:textId="77777777" w:rsidR="000526C3" w:rsidRDefault="00045AFF">
                  <w:pPr>
                    <w:rPr>
                      <w:rFonts w:eastAsia="Times New Roman"/>
                      <w:b/>
                      <w:bCs/>
                      <w:color w:val="FFFFFF"/>
                      <w:sz w:val="16"/>
                      <w:szCs w:val="16"/>
                    </w:rPr>
                  </w:pPr>
                  <w:r>
                    <w:rPr>
                      <w:rFonts w:eastAsia="Times New Roman"/>
                      <w:b/>
                      <w:bCs/>
                      <w:color w:val="FFFFFF"/>
                      <w:sz w:val="16"/>
                      <w:szCs w:val="16"/>
                    </w:rPr>
                    <w:t>Relative effect</w:t>
                  </w:r>
                  <w:r>
                    <w:rPr>
                      <w:rFonts w:eastAsia="Times New Roman"/>
                      <w:b/>
                      <w:bCs/>
                      <w:color w:val="FFFFFF"/>
                      <w:sz w:val="16"/>
                      <w:szCs w:val="16"/>
                    </w:rPr>
                    <w:br/>
                    <w:t>(95% CI)</w:t>
                  </w:r>
                </w:p>
              </w:tc>
              <w:tc>
                <w:tcPr>
                  <w:tcW w:w="1663" w:type="pct"/>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2883F51" w14:textId="77777777" w:rsidR="000526C3" w:rsidRDefault="00045AFF">
                  <w:pPr>
                    <w:rPr>
                      <w:rFonts w:eastAsia="Times New Roman"/>
                      <w:b/>
                      <w:bCs/>
                      <w:color w:val="000000"/>
                      <w:sz w:val="16"/>
                      <w:szCs w:val="16"/>
                    </w:rPr>
                  </w:pPr>
                  <w:r>
                    <w:rPr>
                      <w:rFonts w:eastAsia="Times New Roman"/>
                      <w:b/>
                      <w:bCs/>
                      <w:color w:val="000000"/>
                      <w:sz w:val="16"/>
                      <w:szCs w:val="16"/>
                    </w:rPr>
                    <w:t>Anticipated absolute effects</w:t>
                  </w:r>
                  <w:r>
                    <w:rPr>
                      <w:rFonts w:eastAsia="Times New Roman"/>
                      <w:b/>
                      <w:bCs/>
                      <w:color w:val="000000"/>
                      <w:sz w:val="16"/>
                      <w:szCs w:val="16"/>
                      <w:vertAlign w:val="superscript"/>
                    </w:rPr>
                    <w:t>*</w:t>
                  </w:r>
                  <w:r>
                    <w:rPr>
                      <w:rFonts w:eastAsia="Times New Roman"/>
                      <w:b/>
                      <w:bCs/>
                      <w:color w:val="000000"/>
                      <w:sz w:val="16"/>
                      <w:szCs w:val="16"/>
                    </w:rPr>
                    <w:t xml:space="preserve"> (95% CI)</w:t>
                  </w:r>
                </w:p>
              </w:tc>
            </w:tr>
            <w:tr w:rsidR="000526C3" w14:paraId="2C39F51F" w14:textId="77777777" w:rsidTr="00B067A8">
              <w:trPr>
                <w:divId w:val="1716201253"/>
                <w:tblHeader/>
              </w:trPr>
              <w:tc>
                <w:tcPr>
                  <w:tcW w:w="1011" w:type="pct"/>
                  <w:vMerge/>
                  <w:tcBorders>
                    <w:top w:val="single" w:sz="6" w:space="0" w:color="BFBFBF"/>
                    <w:left w:val="single" w:sz="6" w:space="0" w:color="BFBFBF"/>
                    <w:bottom w:val="single" w:sz="6" w:space="0" w:color="BFBFBF"/>
                    <w:right w:val="single" w:sz="6" w:space="0" w:color="BFBFBF"/>
                  </w:tcBorders>
                  <w:vAlign w:val="center"/>
                  <w:hideMark/>
                </w:tcPr>
                <w:p w14:paraId="6C386DC1" w14:textId="77777777" w:rsidR="000526C3" w:rsidRDefault="000526C3">
                  <w:pPr>
                    <w:rPr>
                      <w:rFonts w:eastAsia="Times New Roman"/>
                      <w:b/>
                      <w:bCs/>
                      <w:color w:val="FFFFFF"/>
                      <w:sz w:val="16"/>
                      <w:szCs w:val="16"/>
                    </w:rPr>
                  </w:pPr>
                </w:p>
              </w:tc>
              <w:tc>
                <w:tcPr>
                  <w:tcW w:w="915" w:type="pct"/>
                  <w:vMerge/>
                  <w:tcBorders>
                    <w:top w:val="single" w:sz="6" w:space="0" w:color="BFBFBF"/>
                    <w:left w:val="single" w:sz="6" w:space="0" w:color="BFBFBF"/>
                    <w:bottom w:val="single" w:sz="6" w:space="0" w:color="BFBFBF"/>
                    <w:right w:val="single" w:sz="6" w:space="0" w:color="BFBFBF"/>
                  </w:tcBorders>
                  <w:vAlign w:val="center"/>
                  <w:hideMark/>
                </w:tcPr>
                <w:p w14:paraId="4BD76FE3" w14:textId="77777777" w:rsidR="000526C3" w:rsidRDefault="000526C3">
                  <w:pPr>
                    <w:rPr>
                      <w:rFonts w:eastAsia="Times New Roman"/>
                      <w:b/>
                      <w:bCs/>
                      <w:color w:val="FFFFFF"/>
                      <w:sz w:val="16"/>
                      <w:szCs w:val="16"/>
                    </w:rPr>
                  </w:pPr>
                </w:p>
              </w:tc>
              <w:tc>
                <w:tcPr>
                  <w:tcW w:w="830" w:type="pct"/>
                  <w:vMerge/>
                  <w:tcBorders>
                    <w:top w:val="single" w:sz="6" w:space="0" w:color="BFBFBF"/>
                    <w:left w:val="single" w:sz="6" w:space="0" w:color="BFBFBF"/>
                    <w:bottom w:val="single" w:sz="6" w:space="0" w:color="BFBFBF"/>
                    <w:right w:val="single" w:sz="6" w:space="0" w:color="BFBFBF"/>
                  </w:tcBorders>
                  <w:vAlign w:val="center"/>
                  <w:hideMark/>
                </w:tcPr>
                <w:p w14:paraId="22EC2B29" w14:textId="77777777" w:rsidR="000526C3" w:rsidRDefault="000526C3">
                  <w:pPr>
                    <w:rPr>
                      <w:rFonts w:eastAsia="Times New Roman"/>
                      <w:b/>
                      <w:bCs/>
                      <w:color w:val="FFFFFF"/>
                      <w:sz w:val="16"/>
                      <w:szCs w:val="16"/>
                    </w:rPr>
                  </w:pPr>
                </w:p>
              </w:tc>
              <w:tc>
                <w:tcPr>
                  <w:tcW w:w="581" w:type="pct"/>
                  <w:vMerge/>
                  <w:tcBorders>
                    <w:top w:val="single" w:sz="6" w:space="0" w:color="BFBFBF"/>
                    <w:left w:val="single" w:sz="6" w:space="0" w:color="BFBFBF"/>
                    <w:bottom w:val="single" w:sz="6" w:space="0" w:color="BFBFBF"/>
                    <w:right w:val="single" w:sz="6" w:space="0" w:color="BFBFBF"/>
                  </w:tcBorders>
                  <w:vAlign w:val="center"/>
                  <w:hideMark/>
                </w:tcPr>
                <w:p w14:paraId="5940999C" w14:textId="77777777" w:rsidR="000526C3" w:rsidRDefault="000526C3">
                  <w:pPr>
                    <w:rPr>
                      <w:rFonts w:eastAsia="Times New Roman"/>
                      <w:b/>
                      <w:bCs/>
                      <w:color w:val="FFFFFF"/>
                      <w:sz w:val="16"/>
                      <w:szCs w:val="16"/>
                    </w:rPr>
                  </w:pPr>
                </w:p>
              </w:tc>
              <w:tc>
                <w:tcPr>
                  <w:tcW w:w="665" w:type="pct"/>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1E51EE16" w14:textId="77777777" w:rsidR="000526C3" w:rsidRDefault="00045AFF">
                  <w:pPr>
                    <w:rPr>
                      <w:rFonts w:eastAsia="Times New Roman"/>
                      <w:b/>
                      <w:bCs/>
                      <w:color w:val="000000"/>
                      <w:sz w:val="16"/>
                      <w:szCs w:val="16"/>
                    </w:rPr>
                  </w:pPr>
                  <w:r>
                    <w:rPr>
                      <w:rFonts w:eastAsia="Times New Roman"/>
                      <w:b/>
                      <w:bCs/>
                      <w:color w:val="000000"/>
                      <w:sz w:val="16"/>
                      <w:szCs w:val="16"/>
                    </w:rPr>
                    <w:t>Risk with IV</w:t>
                  </w:r>
                </w:p>
              </w:tc>
              <w:tc>
                <w:tcPr>
                  <w:tcW w:w="998" w:type="pct"/>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827717F" w14:textId="77777777" w:rsidR="000526C3" w:rsidRDefault="00045AFF">
                  <w:pPr>
                    <w:rPr>
                      <w:rFonts w:eastAsia="Times New Roman"/>
                      <w:b/>
                      <w:bCs/>
                      <w:color w:val="000000"/>
                      <w:sz w:val="16"/>
                      <w:szCs w:val="16"/>
                    </w:rPr>
                  </w:pPr>
                  <w:r>
                    <w:rPr>
                      <w:rFonts w:eastAsia="Times New Roman"/>
                      <w:b/>
                      <w:bCs/>
                      <w:color w:val="000000"/>
                      <w:sz w:val="16"/>
                      <w:szCs w:val="16"/>
                    </w:rPr>
                    <w:t>Risk difference with IO</w:t>
                  </w:r>
                </w:p>
              </w:tc>
            </w:tr>
            <w:tr w:rsidR="000526C3" w14:paraId="5C2E0B53" w14:textId="77777777" w:rsidTr="00B067A8">
              <w:trPr>
                <w:divId w:val="1716201253"/>
              </w:trPr>
              <w:tc>
                <w:tcPr>
                  <w:tcW w:w="1011" w:type="pct"/>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7D73E3" w14:textId="77777777" w:rsidR="000526C3" w:rsidRDefault="00045AFF">
                  <w:pPr>
                    <w:rPr>
                      <w:rFonts w:eastAsia="Times New Roman"/>
                      <w:sz w:val="16"/>
                      <w:szCs w:val="16"/>
                    </w:rPr>
                  </w:pPr>
                  <w:r>
                    <w:rPr>
                      <w:rStyle w:val="label"/>
                      <w:rFonts w:eastAsia="Times New Roman"/>
                      <w:sz w:val="16"/>
                      <w:szCs w:val="16"/>
                    </w:rPr>
                    <w:t>Return of spontaneous circulation</w:t>
                  </w:r>
                </w:p>
              </w:tc>
              <w:tc>
                <w:tcPr>
                  <w:tcW w:w="915" w:type="pct"/>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5D3AC32" w14:textId="77777777" w:rsidR="000526C3" w:rsidRDefault="00045AFF">
                  <w:pPr>
                    <w:rPr>
                      <w:rFonts w:eastAsia="Times New Roman"/>
                      <w:sz w:val="16"/>
                      <w:szCs w:val="16"/>
                    </w:rPr>
                  </w:pPr>
                  <w:r>
                    <w:rPr>
                      <w:rFonts w:eastAsia="Times New Roman"/>
                      <w:sz w:val="16"/>
                      <w:szCs w:val="16"/>
                    </w:rPr>
                    <w:t>34686</w:t>
                  </w:r>
                  <w:r>
                    <w:rPr>
                      <w:rFonts w:eastAsia="Times New Roman"/>
                      <w:sz w:val="16"/>
                      <w:szCs w:val="16"/>
                    </w:rPr>
                    <w:br/>
                    <w:t>(3 observational studies)</w:t>
                  </w:r>
                </w:p>
              </w:tc>
              <w:tc>
                <w:tcPr>
                  <w:tcW w:w="830" w:type="pct"/>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3481E71C" w14:textId="77777777" w:rsidR="000526C3" w:rsidRDefault="00045AFF">
                  <w:pPr>
                    <w:rPr>
                      <w:rFonts w:eastAsia="Times New Roman"/>
                      <w:sz w:val="16"/>
                      <w:szCs w:val="16"/>
                    </w:rPr>
                  </w:pPr>
                  <w:r>
                    <w:rPr>
                      <w:rStyle w:val="quality-sign"/>
                      <w:rFonts w:ascii="Cambria Math" w:eastAsia="Times New Roman" w:hAnsi="Cambria Math" w:cs="Cambria Math"/>
                      <w:sz w:val="21"/>
                      <w:szCs w:val="21"/>
                    </w:rPr>
                    <w:t>⨁◯◯◯</w:t>
                  </w:r>
                  <w:r>
                    <w:rPr>
                      <w:rFonts w:eastAsia="Times New Roman"/>
                      <w:sz w:val="16"/>
                      <w:szCs w:val="16"/>
                    </w:rPr>
                    <w:br/>
                  </w:r>
                  <w:r>
                    <w:rPr>
                      <w:rStyle w:val="quality-text"/>
                      <w:rFonts w:eastAsia="Times New Roman"/>
                      <w:sz w:val="16"/>
                      <w:szCs w:val="16"/>
                    </w:rPr>
                    <w:t xml:space="preserve">VERY </w:t>
                  </w:r>
                  <w:proofErr w:type="gramStart"/>
                  <w:r>
                    <w:rPr>
                      <w:rStyle w:val="quality-text"/>
                      <w:rFonts w:eastAsia="Times New Roman"/>
                      <w:sz w:val="16"/>
                      <w:szCs w:val="16"/>
                    </w:rPr>
                    <w:t>LOW</w:t>
                  </w:r>
                  <w:r>
                    <w:rPr>
                      <w:rFonts w:eastAsia="Times New Roman"/>
                      <w:sz w:val="16"/>
                      <w:szCs w:val="16"/>
                      <w:vertAlign w:val="superscript"/>
                    </w:rPr>
                    <w:t>a,b</w:t>
                  </w:r>
                  <w:proofErr w:type="gramEnd"/>
                </w:p>
              </w:tc>
              <w:tc>
                <w:tcPr>
                  <w:tcW w:w="581" w:type="pct"/>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68BFB0E" w14:textId="77777777" w:rsidR="000526C3" w:rsidRDefault="00045AFF">
                  <w:pPr>
                    <w:rPr>
                      <w:rFonts w:eastAsia="Times New Roman"/>
                      <w:sz w:val="16"/>
                      <w:szCs w:val="16"/>
                    </w:rPr>
                  </w:pPr>
                  <w:r>
                    <w:rPr>
                      <w:rStyle w:val="block"/>
                      <w:rFonts w:eastAsia="Times New Roman"/>
                      <w:b/>
                      <w:bCs/>
                      <w:sz w:val="16"/>
                      <w:szCs w:val="16"/>
                    </w:rPr>
                    <w:t>OR 0.74</w:t>
                  </w:r>
                  <w:r>
                    <w:rPr>
                      <w:rFonts w:eastAsia="Times New Roman"/>
                      <w:sz w:val="16"/>
                      <w:szCs w:val="16"/>
                    </w:rPr>
                    <w:br/>
                  </w:r>
                  <w:r>
                    <w:rPr>
                      <w:rStyle w:val="cell"/>
                      <w:rFonts w:eastAsia="Times New Roman"/>
                      <w:sz w:val="16"/>
                      <w:szCs w:val="16"/>
                    </w:rPr>
                    <w:t>(0.67 to 0.81)</w:t>
                  </w:r>
                </w:p>
              </w:tc>
              <w:tc>
                <w:tcPr>
                  <w:tcW w:w="1663" w:type="pct"/>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32B38C6" w14:textId="77777777" w:rsidR="000526C3" w:rsidRDefault="00045AFF">
                  <w:pPr>
                    <w:rPr>
                      <w:rFonts w:eastAsia="Times New Roman"/>
                      <w:color w:val="000000"/>
                      <w:sz w:val="16"/>
                      <w:szCs w:val="16"/>
                    </w:rPr>
                  </w:pPr>
                  <w:r>
                    <w:rPr>
                      <w:rFonts w:eastAsia="Times New Roman"/>
                      <w:color w:val="000000"/>
                      <w:sz w:val="16"/>
                      <w:szCs w:val="16"/>
                    </w:rPr>
                    <w:t>Study population</w:t>
                  </w:r>
                </w:p>
              </w:tc>
            </w:tr>
            <w:tr w:rsidR="000526C3" w:rsidRPr="006D6A3E" w14:paraId="4E3449B4" w14:textId="77777777" w:rsidTr="00B067A8">
              <w:trPr>
                <w:divId w:val="1716201253"/>
              </w:trPr>
              <w:tc>
                <w:tcPr>
                  <w:tcW w:w="1011" w:type="pct"/>
                  <w:vMerge/>
                  <w:tcBorders>
                    <w:top w:val="single" w:sz="6" w:space="0" w:color="BFBFBF"/>
                    <w:left w:val="single" w:sz="6" w:space="0" w:color="BFBFBF"/>
                    <w:bottom w:val="single" w:sz="6" w:space="0" w:color="BFBFBF"/>
                    <w:right w:val="single" w:sz="6" w:space="0" w:color="BFBFBF"/>
                  </w:tcBorders>
                  <w:vAlign w:val="center"/>
                  <w:hideMark/>
                </w:tcPr>
                <w:p w14:paraId="6D7551AE" w14:textId="77777777" w:rsidR="000526C3" w:rsidRDefault="000526C3">
                  <w:pPr>
                    <w:rPr>
                      <w:rFonts w:eastAsia="Times New Roman"/>
                      <w:sz w:val="16"/>
                      <w:szCs w:val="16"/>
                    </w:rPr>
                  </w:pPr>
                </w:p>
              </w:tc>
              <w:tc>
                <w:tcPr>
                  <w:tcW w:w="915" w:type="pct"/>
                  <w:vMerge/>
                  <w:tcBorders>
                    <w:top w:val="single" w:sz="6" w:space="0" w:color="BFBFBF"/>
                    <w:left w:val="single" w:sz="6" w:space="0" w:color="BFBFBF"/>
                    <w:bottom w:val="single" w:sz="6" w:space="0" w:color="BFBFBF"/>
                    <w:right w:val="single" w:sz="6" w:space="0" w:color="BFBFBF"/>
                  </w:tcBorders>
                  <w:vAlign w:val="center"/>
                  <w:hideMark/>
                </w:tcPr>
                <w:p w14:paraId="48CB7AF1" w14:textId="77777777" w:rsidR="000526C3" w:rsidRDefault="000526C3">
                  <w:pPr>
                    <w:rPr>
                      <w:rFonts w:eastAsia="Times New Roman"/>
                      <w:sz w:val="16"/>
                      <w:szCs w:val="16"/>
                    </w:rPr>
                  </w:pPr>
                </w:p>
              </w:tc>
              <w:tc>
                <w:tcPr>
                  <w:tcW w:w="830" w:type="pct"/>
                  <w:vMerge/>
                  <w:tcBorders>
                    <w:top w:val="single" w:sz="6" w:space="0" w:color="BFBFBF"/>
                    <w:left w:val="single" w:sz="6" w:space="0" w:color="BFBFBF"/>
                    <w:bottom w:val="single" w:sz="6" w:space="0" w:color="BFBFBF"/>
                    <w:right w:val="single" w:sz="6" w:space="0" w:color="BFBFBF"/>
                  </w:tcBorders>
                  <w:vAlign w:val="center"/>
                  <w:hideMark/>
                </w:tcPr>
                <w:p w14:paraId="41385DC5" w14:textId="77777777" w:rsidR="000526C3" w:rsidRDefault="000526C3">
                  <w:pPr>
                    <w:rPr>
                      <w:rFonts w:eastAsia="Times New Roman"/>
                      <w:sz w:val="16"/>
                      <w:szCs w:val="16"/>
                    </w:rPr>
                  </w:pPr>
                </w:p>
              </w:tc>
              <w:tc>
                <w:tcPr>
                  <w:tcW w:w="581" w:type="pct"/>
                  <w:vMerge/>
                  <w:tcBorders>
                    <w:top w:val="single" w:sz="6" w:space="0" w:color="BFBFBF"/>
                    <w:left w:val="single" w:sz="6" w:space="0" w:color="BFBFBF"/>
                    <w:bottom w:val="single" w:sz="6" w:space="0" w:color="BFBFBF"/>
                    <w:right w:val="single" w:sz="6" w:space="0" w:color="BFBFBF"/>
                  </w:tcBorders>
                  <w:vAlign w:val="center"/>
                  <w:hideMark/>
                </w:tcPr>
                <w:p w14:paraId="2A722FD3" w14:textId="77777777" w:rsidR="000526C3" w:rsidRDefault="000526C3">
                  <w:pPr>
                    <w:rPr>
                      <w:rFonts w:eastAsia="Times New Roman"/>
                      <w:sz w:val="16"/>
                      <w:szCs w:val="16"/>
                    </w:rPr>
                  </w:pPr>
                </w:p>
              </w:tc>
              <w:tc>
                <w:tcPr>
                  <w:tcW w:w="665" w:type="pct"/>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79A182A6" w14:textId="77777777" w:rsidR="000526C3" w:rsidRDefault="00045AFF">
                  <w:pPr>
                    <w:rPr>
                      <w:rFonts w:eastAsia="Times New Roman"/>
                      <w:color w:val="000000"/>
                      <w:sz w:val="16"/>
                      <w:szCs w:val="16"/>
                    </w:rPr>
                  </w:pPr>
                  <w:r>
                    <w:rPr>
                      <w:rFonts w:eastAsia="Times New Roman"/>
                      <w:color w:val="000000"/>
                      <w:sz w:val="16"/>
                      <w:szCs w:val="16"/>
                    </w:rPr>
                    <w:t>311 per 1.000</w:t>
                  </w:r>
                </w:p>
              </w:tc>
              <w:tc>
                <w:tcPr>
                  <w:tcW w:w="998" w:type="pct"/>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441E01B5" w14:textId="77777777" w:rsidR="000526C3" w:rsidRPr="00CD2D3A" w:rsidRDefault="00045AFF">
                  <w:pPr>
                    <w:rPr>
                      <w:rFonts w:eastAsia="Times New Roman"/>
                      <w:color w:val="000000"/>
                      <w:sz w:val="16"/>
                      <w:szCs w:val="16"/>
                      <w:lang w:val="en-US"/>
                    </w:rPr>
                  </w:pPr>
                  <w:r w:rsidRPr="00CD2D3A">
                    <w:rPr>
                      <w:rStyle w:val="cell-value"/>
                      <w:rFonts w:eastAsia="Times New Roman"/>
                      <w:b/>
                      <w:bCs/>
                      <w:color w:val="000000"/>
                      <w:sz w:val="16"/>
                      <w:szCs w:val="16"/>
                      <w:lang w:val="en-US"/>
                    </w:rPr>
                    <w:t>61 fewer per 1.000</w:t>
                  </w:r>
                  <w:r w:rsidRPr="00CD2D3A">
                    <w:rPr>
                      <w:rFonts w:eastAsia="Times New Roman"/>
                      <w:color w:val="000000"/>
                      <w:sz w:val="16"/>
                      <w:szCs w:val="16"/>
                      <w:lang w:val="en-US"/>
                    </w:rPr>
                    <w:br/>
                  </w:r>
                  <w:r w:rsidRPr="00CD2D3A">
                    <w:rPr>
                      <w:rStyle w:val="cell-value"/>
                      <w:rFonts w:eastAsia="Times New Roman"/>
                      <w:color w:val="000000"/>
                      <w:sz w:val="16"/>
                      <w:szCs w:val="16"/>
                      <w:lang w:val="en-US"/>
                    </w:rPr>
                    <w:t>(79 fewer to 43 fewer)</w:t>
                  </w:r>
                </w:p>
              </w:tc>
            </w:tr>
            <w:tr w:rsidR="000526C3" w14:paraId="4051E2AC" w14:textId="77777777" w:rsidTr="00B067A8">
              <w:trPr>
                <w:divId w:val="1716201253"/>
              </w:trPr>
              <w:tc>
                <w:tcPr>
                  <w:tcW w:w="1011" w:type="pct"/>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46FC6D22" w14:textId="77777777" w:rsidR="000526C3" w:rsidRDefault="00045AFF">
                  <w:pPr>
                    <w:rPr>
                      <w:rFonts w:eastAsia="Times New Roman"/>
                      <w:sz w:val="16"/>
                      <w:szCs w:val="16"/>
                    </w:rPr>
                  </w:pPr>
                  <w:r>
                    <w:rPr>
                      <w:rStyle w:val="label"/>
                      <w:rFonts w:eastAsia="Times New Roman"/>
                      <w:sz w:val="16"/>
                      <w:szCs w:val="16"/>
                    </w:rPr>
                    <w:t>Survival to hospital discharge</w:t>
                  </w:r>
                </w:p>
              </w:tc>
              <w:tc>
                <w:tcPr>
                  <w:tcW w:w="915" w:type="pct"/>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5CF39D06" w14:textId="77777777" w:rsidR="000526C3" w:rsidRDefault="00045AFF">
                  <w:pPr>
                    <w:rPr>
                      <w:rFonts w:eastAsia="Times New Roman"/>
                      <w:sz w:val="16"/>
                      <w:szCs w:val="16"/>
                    </w:rPr>
                  </w:pPr>
                  <w:r>
                    <w:rPr>
                      <w:rFonts w:eastAsia="Times New Roman"/>
                      <w:sz w:val="16"/>
                      <w:szCs w:val="16"/>
                    </w:rPr>
                    <w:t>34686</w:t>
                  </w:r>
                  <w:r>
                    <w:rPr>
                      <w:rFonts w:eastAsia="Times New Roman"/>
                      <w:sz w:val="16"/>
                      <w:szCs w:val="16"/>
                    </w:rPr>
                    <w:br/>
                    <w:t>(3 observational studies)</w:t>
                  </w:r>
                </w:p>
              </w:tc>
              <w:tc>
                <w:tcPr>
                  <w:tcW w:w="830" w:type="pct"/>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08DBC9B2" w14:textId="77777777" w:rsidR="000526C3" w:rsidRDefault="00045AFF">
                  <w:pPr>
                    <w:rPr>
                      <w:rFonts w:eastAsia="Times New Roman"/>
                      <w:sz w:val="16"/>
                      <w:szCs w:val="16"/>
                    </w:rPr>
                  </w:pPr>
                  <w:r>
                    <w:rPr>
                      <w:rStyle w:val="quality-sign"/>
                      <w:rFonts w:ascii="Cambria Math" w:eastAsia="Times New Roman" w:hAnsi="Cambria Math" w:cs="Cambria Math"/>
                      <w:sz w:val="21"/>
                      <w:szCs w:val="21"/>
                    </w:rPr>
                    <w:t>⨁◯◯◯</w:t>
                  </w:r>
                  <w:r>
                    <w:rPr>
                      <w:rFonts w:eastAsia="Times New Roman"/>
                      <w:sz w:val="16"/>
                      <w:szCs w:val="16"/>
                    </w:rPr>
                    <w:br/>
                  </w:r>
                  <w:r>
                    <w:rPr>
                      <w:rStyle w:val="quality-text"/>
                      <w:rFonts w:eastAsia="Times New Roman"/>
                      <w:sz w:val="16"/>
                      <w:szCs w:val="16"/>
                    </w:rPr>
                    <w:t xml:space="preserve">VERY </w:t>
                  </w:r>
                  <w:proofErr w:type="gramStart"/>
                  <w:r>
                    <w:rPr>
                      <w:rStyle w:val="quality-text"/>
                      <w:rFonts w:eastAsia="Times New Roman"/>
                      <w:sz w:val="16"/>
                      <w:szCs w:val="16"/>
                    </w:rPr>
                    <w:t>LOW</w:t>
                  </w:r>
                  <w:r>
                    <w:rPr>
                      <w:rFonts w:eastAsia="Times New Roman"/>
                      <w:sz w:val="16"/>
                      <w:szCs w:val="16"/>
                      <w:vertAlign w:val="superscript"/>
                    </w:rPr>
                    <w:t>a,b</w:t>
                  </w:r>
                  <w:proofErr w:type="gramEnd"/>
                </w:p>
              </w:tc>
              <w:tc>
                <w:tcPr>
                  <w:tcW w:w="581" w:type="pct"/>
                  <w:vMerge w:val="restart"/>
                  <w:tcBorders>
                    <w:top w:val="single" w:sz="6" w:space="0" w:color="BFBFBF"/>
                    <w:left w:val="single" w:sz="6" w:space="0" w:color="BFBFBF"/>
                    <w:bottom w:val="single" w:sz="6" w:space="0" w:color="BFBFBF"/>
                    <w:right w:val="single" w:sz="6" w:space="0" w:color="BFBFBF"/>
                  </w:tcBorders>
                  <w:tcMar>
                    <w:top w:w="75" w:type="dxa"/>
                    <w:left w:w="75" w:type="dxa"/>
                    <w:bottom w:w="75" w:type="dxa"/>
                    <w:right w:w="75" w:type="dxa"/>
                  </w:tcMar>
                  <w:hideMark/>
                </w:tcPr>
                <w:p w14:paraId="72D57552" w14:textId="77777777" w:rsidR="000526C3" w:rsidRDefault="00045AFF">
                  <w:pPr>
                    <w:rPr>
                      <w:rFonts w:eastAsia="Times New Roman"/>
                      <w:sz w:val="16"/>
                      <w:szCs w:val="16"/>
                    </w:rPr>
                  </w:pPr>
                  <w:r>
                    <w:rPr>
                      <w:rStyle w:val="block"/>
                      <w:rFonts w:eastAsia="Times New Roman"/>
                      <w:b/>
                      <w:bCs/>
                      <w:sz w:val="16"/>
                      <w:szCs w:val="16"/>
                    </w:rPr>
                    <w:t>OR 0.79</w:t>
                  </w:r>
                  <w:r>
                    <w:rPr>
                      <w:rFonts w:eastAsia="Times New Roman"/>
                      <w:sz w:val="16"/>
                      <w:szCs w:val="16"/>
                    </w:rPr>
                    <w:br/>
                  </w:r>
                  <w:r>
                    <w:rPr>
                      <w:rStyle w:val="cell"/>
                      <w:rFonts w:eastAsia="Times New Roman"/>
                      <w:sz w:val="16"/>
                      <w:szCs w:val="16"/>
                    </w:rPr>
                    <w:t>(0.66 to 0.93)</w:t>
                  </w:r>
                </w:p>
              </w:tc>
              <w:tc>
                <w:tcPr>
                  <w:tcW w:w="1663" w:type="pct"/>
                  <w:gridSpan w:val="2"/>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0202CBD2" w14:textId="77777777" w:rsidR="000526C3" w:rsidRDefault="00045AFF">
                  <w:pPr>
                    <w:rPr>
                      <w:rFonts w:eastAsia="Times New Roman"/>
                      <w:color w:val="000000"/>
                      <w:sz w:val="16"/>
                      <w:szCs w:val="16"/>
                    </w:rPr>
                  </w:pPr>
                  <w:r>
                    <w:rPr>
                      <w:rFonts w:eastAsia="Times New Roman"/>
                      <w:color w:val="000000"/>
                      <w:sz w:val="16"/>
                      <w:szCs w:val="16"/>
                    </w:rPr>
                    <w:t>Study population</w:t>
                  </w:r>
                </w:p>
              </w:tc>
            </w:tr>
            <w:tr w:rsidR="000526C3" w:rsidRPr="006D6A3E" w14:paraId="56203411" w14:textId="77777777" w:rsidTr="00B067A8">
              <w:trPr>
                <w:divId w:val="1716201253"/>
              </w:trPr>
              <w:tc>
                <w:tcPr>
                  <w:tcW w:w="1011" w:type="pct"/>
                  <w:vMerge/>
                  <w:tcBorders>
                    <w:top w:val="single" w:sz="6" w:space="0" w:color="BFBFBF"/>
                    <w:left w:val="single" w:sz="6" w:space="0" w:color="BFBFBF"/>
                    <w:bottom w:val="single" w:sz="6" w:space="0" w:color="BFBFBF"/>
                    <w:right w:val="single" w:sz="6" w:space="0" w:color="BFBFBF"/>
                  </w:tcBorders>
                  <w:vAlign w:val="center"/>
                  <w:hideMark/>
                </w:tcPr>
                <w:p w14:paraId="2071C0D9" w14:textId="77777777" w:rsidR="000526C3" w:rsidRDefault="000526C3">
                  <w:pPr>
                    <w:rPr>
                      <w:rFonts w:eastAsia="Times New Roman"/>
                      <w:sz w:val="16"/>
                      <w:szCs w:val="16"/>
                    </w:rPr>
                  </w:pPr>
                </w:p>
              </w:tc>
              <w:tc>
                <w:tcPr>
                  <w:tcW w:w="915" w:type="pct"/>
                  <w:vMerge/>
                  <w:tcBorders>
                    <w:top w:val="single" w:sz="6" w:space="0" w:color="BFBFBF"/>
                    <w:left w:val="single" w:sz="6" w:space="0" w:color="BFBFBF"/>
                    <w:bottom w:val="single" w:sz="6" w:space="0" w:color="BFBFBF"/>
                    <w:right w:val="single" w:sz="6" w:space="0" w:color="BFBFBF"/>
                  </w:tcBorders>
                  <w:vAlign w:val="center"/>
                  <w:hideMark/>
                </w:tcPr>
                <w:p w14:paraId="46FFFF93" w14:textId="77777777" w:rsidR="000526C3" w:rsidRDefault="000526C3">
                  <w:pPr>
                    <w:rPr>
                      <w:rFonts w:eastAsia="Times New Roman"/>
                      <w:sz w:val="16"/>
                      <w:szCs w:val="16"/>
                    </w:rPr>
                  </w:pPr>
                </w:p>
              </w:tc>
              <w:tc>
                <w:tcPr>
                  <w:tcW w:w="830" w:type="pct"/>
                  <w:vMerge/>
                  <w:tcBorders>
                    <w:top w:val="single" w:sz="6" w:space="0" w:color="BFBFBF"/>
                    <w:left w:val="single" w:sz="6" w:space="0" w:color="BFBFBF"/>
                    <w:bottom w:val="single" w:sz="6" w:space="0" w:color="BFBFBF"/>
                    <w:right w:val="single" w:sz="6" w:space="0" w:color="BFBFBF"/>
                  </w:tcBorders>
                  <w:vAlign w:val="center"/>
                  <w:hideMark/>
                </w:tcPr>
                <w:p w14:paraId="65FC93D3" w14:textId="77777777" w:rsidR="000526C3" w:rsidRDefault="000526C3">
                  <w:pPr>
                    <w:rPr>
                      <w:rFonts w:eastAsia="Times New Roman"/>
                      <w:sz w:val="16"/>
                      <w:szCs w:val="16"/>
                    </w:rPr>
                  </w:pPr>
                </w:p>
              </w:tc>
              <w:tc>
                <w:tcPr>
                  <w:tcW w:w="581" w:type="pct"/>
                  <w:vMerge/>
                  <w:tcBorders>
                    <w:top w:val="single" w:sz="6" w:space="0" w:color="BFBFBF"/>
                    <w:left w:val="single" w:sz="6" w:space="0" w:color="BFBFBF"/>
                    <w:bottom w:val="single" w:sz="6" w:space="0" w:color="BFBFBF"/>
                    <w:right w:val="single" w:sz="6" w:space="0" w:color="BFBFBF"/>
                  </w:tcBorders>
                  <w:vAlign w:val="center"/>
                  <w:hideMark/>
                </w:tcPr>
                <w:p w14:paraId="25BFF54C" w14:textId="77777777" w:rsidR="000526C3" w:rsidRDefault="000526C3">
                  <w:pPr>
                    <w:rPr>
                      <w:rFonts w:eastAsia="Times New Roman"/>
                      <w:sz w:val="16"/>
                      <w:szCs w:val="16"/>
                    </w:rPr>
                  </w:pPr>
                </w:p>
              </w:tc>
              <w:tc>
                <w:tcPr>
                  <w:tcW w:w="665" w:type="pct"/>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503230D0" w14:textId="77777777" w:rsidR="000526C3" w:rsidRDefault="00045AFF">
                  <w:pPr>
                    <w:rPr>
                      <w:rFonts w:eastAsia="Times New Roman"/>
                      <w:color w:val="000000"/>
                      <w:sz w:val="16"/>
                      <w:szCs w:val="16"/>
                    </w:rPr>
                  </w:pPr>
                  <w:r>
                    <w:rPr>
                      <w:rFonts w:eastAsia="Times New Roman"/>
                      <w:color w:val="000000"/>
                      <w:sz w:val="16"/>
                      <w:szCs w:val="16"/>
                    </w:rPr>
                    <w:t>84 per 1.000</w:t>
                  </w:r>
                </w:p>
              </w:tc>
              <w:tc>
                <w:tcPr>
                  <w:tcW w:w="998" w:type="pct"/>
                  <w:tcBorders>
                    <w:top w:val="single" w:sz="6" w:space="0" w:color="BFBFBF"/>
                    <w:left w:val="single" w:sz="6" w:space="0" w:color="BFBFBF"/>
                    <w:bottom w:val="single" w:sz="6" w:space="0" w:color="BFBFBF"/>
                    <w:right w:val="single" w:sz="6" w:space="0" w:color="BFBFBF"/>
                  </w:tcBorders>
                  <w:shd w:val="clear" w:color="auto" w:fill="EBEBEB"/>
                  <w:tcMar>
                    <w:top w:w="75" w:type="dxa"/>
                    <w:left w:w="75" w:type="dxa"/>
                    <w:bottom w:w="75" w:type="dxa"/>
                    <w:right w:w="75" w:type="dxa"/>
                  </w:tcMar>
                  <w:hideMark/>
                </w:tcPr>
                <w:p w14:paraId="30876AFD" w14:textId="77777777" w:rsidR="000526C3" w:rsidRPr="00CD2D3A" w:rsidRDefault="00045AFF">
                  <w:pPr>
                    <w:rPr>
                      <w:rFonts w:eastAsia="Times New Roman"/>
                      <w:color w:val="000000"/>
                      <w:sz w:val="16"/>
                      <w:szCs w:val="16"/>
                      <w:lang w:val="en-US"/>
                    </w:rPr>
                  </w:pPr>
                  <w:r w:rsidRPr="00CD2D3A">
                    <w:rPr>
                      <w:rStyle w:val="cell-value"/>
                      <w:rFonts w:eastAsia="Times New Roman"/>
                      <w:b/>
                      <w:bCs/>
                      <w:color w:val="000000"/>
                      <w:sz w:val="16"/>
                      <w:szCs w:val="16"/>
                      <w:lang w:val="en-US"/>
                    </w:rPr>
                    <w:t>17 fewer per 1.000</w:t>
                  </w:r>
                  <w:r w:rsidRPr="00CD2D3A">
                    <w:rPr>
                      <w:rFonts w:eastAsia="Times New Roman"/>
                      <w:color w:val="000000"/>
                      <w:sz w:val="16"/>
                      <w:szCs w:val="16"/>
                      <w:lang w:val="en-US"/>
                    </w:rPr>
                    <w:br/>
                  </w:r>
                  <w:r w:rsidRPr="00CD2D3A">
                    <w:rPr>
                      <w:rStyle w:val="cell-value"/>
                      <w:rFonts w:eastAsia="Times New Roman"/>
                      <w:color w:val="000000"/>
                      <w:sz w:val="16"/>
                      <w:szCs w:val="16"/>
                      <w:lang w:val="en-US"/>
                    </w:rPr>
                    <w:t>(27 fewer to 5 fewer)</w:t>
                  </w:r>
                </w:p>
              </w:tc>
            </w:tr>
          </w:tbl>
          <w:p w14:paraId="7E6E694E" w14:textId="77777777" w:rsidR="000526C3" w:rsidRPr="00B067A8" w:rsidRDefault="00045AFF">
            <w:pPr>
              <w:numPr>
                <w:ilvl w:val="0"/>
                <w:numId w:val="1"/>
              </w:numPr>
              <w:spacing w:before="100" w:beforeAutospacing="1" w:after="100" w:afterAutospacing="1" w:line="240" w:lineRule="auto"/>
              <w:divId w:val="1716201253"/>
              <w:rPr>
                <w:rFonts w:eastAsia="Times New Roman" w:cstheme="minorHAnsi"/>
                <w:sz w:val="16"/>
                <w:szCs w:val="16"/>
                <w:lang w:val="en-US"/>
              </w:rPr>
            </w:pPr>
            <w:r w:rsidRPr="00B067A8">
              <w:rPr>
                <w:rFonts w:eastAsia="Times New Roman" w:cstheme="minorHAnsi"/>
                <w:sz w:val="16"/>
                <w:szCs w:val="16"/>
                <w:lang w:val="en-US"/>
              </w:rPr>
              <w:t xml:space="preserve">Assessed using the ROBINS-I tool. Table X. Overall rated as serious risk of bias due to confounding and selection bias. </w:t>
            </w:r>
          </w:p>
          <w:p w14:paraId="6CCADAB5" w14:textId="77777777" w:rsidR="000526C3" w:rsidRPr="00B067A8" w:rsidRDefault="00045AFF" w:rsidP="00B067A8">
            <w:pPr>
              <w:numPr>
                <w:ilvl w:val="0"/>
                <w:numId w:val="1"/>
              </w:numPr>
              <w:spacing w:before="100" w:beforeAutospacing="1" w:after="100" w:afterAutospacing="1" w:line="240" w:lineRule="auto"/>
              <w:divId w:val="1716201253"/>
              <w:rPr>
                <w:rFonts w:ascii="Verdana" w:eastAsia="Times New Roman" w:hAnsi="Verdana" w:cs="Calibri"/>
                <w:sz w:val="16"/>
                <w:szCs w:val="16"/>
                <w:lang w:val="en-US"/>
              </w:rPr>
            </w:pPr>
            <w:r w:rsidRPr="00B067A8">
              <w:rPr>
                <w:rFonts w:eastAsia="Times New Roman" w:cstheme="minorHAnsi"/>
                <w:sz w:val="16"/>
                <w:szCs w:val="16"/>
                <w:lang w:val="en-US"/>
              </w:rPr>
              <w:t>Based on variations in effect size and I</w:t>
            </w:r>
            <w:r w:rsidRPr="00B067A8">
              <w:rPr>
                <w:rFonts w:eastAsia="Times New Roman" w:cstheme="minorHAnsi"/>
                <w:sz w:val="16"/>
                <w:szCs w:val="16"/>
                <w:vertAlign w:val="superscript"/>
                <w:lang w:val="en-US"/>
              </w:rPr>
              <w:t>2</w:t>
            </w:r>
            <w:r w:rsidRPr="00B067A8">
              <w:rPr>
                <w:rFonts w:eastAsia="Times New Roman" w:cstheme="minorHAnsi"/>
                <w:sz w:val="16"/>
                <w:szCs w:val="16"/>
                <w:lang w:val="en-US"/>
              </w:rPr>
              <w:t xml:space="preserve"> statistics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537E2" w14:textId="77777777" w:rsidR="000526C3" w:rsidRPr="00CD2D3A" w:rsidRDefault="00045AFF">
            <w:pPr>
              <w:divId w:val="1184974627"/>
              <w:rPr>
                <w:rFonts w:ascii="Calibri" w:eastAsia="Times New Roman" w:hAnsi="Calibri" w:cs="Calibri"/>
                <w:sz w:val="16"/>
                <w:szCs w:val="16"/>
                <w:lang w:val="en-US"/>
              </w:rPr>
            </w:pPr>
            <w:r w:rsidRPr="00CD2D3A">
              <w:rPr>
                <w:rFonts w:ascii="Calibri" w:eastAsia="Times New Roman" w:hAnsi="Calibri" w:cs="Calibri"/>
                <w:sz w:val="16"/>
                <w:szCs w:val="16"/>
                <w:lang w:val="en-US"/>
              </w:rPr>
              <w:lastRenderedPageBreak/>
              <w:br/>
            </w:r>
          </w:p>
        </w:tc>
      </w:tr>
      <w:tr w:rsidR="000526C3" w:rsidRPr="006D6A3E"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CD2D3A" w:rsidRDefault="00045AFF">
            <w:pPr>
              <w:pStyle w:val="Heading2"/>
              <w:spacing w:before="0" w:beforeAutospacing="0" w:after="0" w:afterAutospacing="0"/>
              <w:divId w:val="1120804374"/>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Undesirable Effects</w:t>
            </w:r>
          </w:p>
          <w:p w14:paraId="2BB7A0B7" w14:textId="77777777" w:rsidR="000526C3" w:rsidRPr="00CD2D3A" w:rsidRDefault="00045AFF">
            <w:pPr>
              <w:pStyle w:val="Subtitle1"/>
              <w:spacing w:before="0" w:beforeAutospacing="0" w:after="0" w:afterAutospacing="0"/>
              <w:divId w:val="1120804374"/>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undesirable anticipated effects?</w:t>
            </w:r>
          </w:p>
        </w:tc>
      </w:tr>
      <w:tr w:rsidR="000526C3"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6D6A3E" w14:paraId="3A0E4062" w14:textId="77777777" w:rsidTr="00D65A05">
        <w:trPr>
          <w:divId w:val="1347438940"/>
          <w:trHeight w:val="104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AC1AA" w14:textId="167FC82A" w:rsidR="000526C3" w:rsidRPr="00CD2D3A" w:rsidRDefault="00045AFF">
            <w:pPr>
              <w:divId w:val="1732341283"/>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w:t>
            </w:r>
            <w:r w:rsidRPr="00CD2D3A">
              <w:rPr>
                <w:rFonts w:ascii="Calibri" w:eastAsia="Times New Roman" w:hAnsi="Calibri" w:cs="Calibri"/>
                <w:sz w:val="16"/>
                <w:szCs w:val="16"/>
                <w:lang w:val="en-US"/>
              </w:rPr>
              <w:br/>
            </w:r>
            <w:r w:rsidR="00D65A05"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00D65A05"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Small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Trivial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445AA" w14:textId="061FF6CF" w:rsidR="000526C3" w:rsidRPr="00CD2D3A" w:rsidRDefault="00045AFF" w:rsidP="00B067A8">
            <w:pPr>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Use of IO access might result in decreased drug effectiveness due to a changed pharmacokinetic profile or misplaced IO lines. </w:t>
            </w:r>
            <w:r w:rsidR="00D65A05">
              <w:rPr>
                <w:rFonts w:ascii="Calibri" w:eastAsia="Times New Roman" w:hAnsi="Calibri" w:cs="Calibri"/>
                <w:sz w:val="16"/>
                <w:szCs w:val="16"/>
                <w:lang w:val="en-US"/>
              </w:rPr>
              <w:t xml:space="preserve">Complications could include bone injury and infection. </w:t>
            </w:r>
          </w:p>
          <w:p w14:paraId="7C81595B" w14:textId="5C212B9E" w:rsidR="000526C3" w:rsidRPr="00CD2D3A" w:rsidRDefault="00045AFF">
            <w:pPr>
              <w:rPr>
                <w:rFonts w:ascii="Calibri" w:eastAsia="Times New Roman" w:hAnsi="Calibri" w:cs="Calibri"/>
                <w:sz w:val="16"/>
                <w:szCs w:val="16"/>
                <w:lang w:val="en-US"/>
              </w:rPr>
            </w:pPr>
            <w:r w:rsidRPr="00B0155B">
              <w:rPr>
                <w:rFonts w:ascii="Calibri" w:eastAsia="Times New Roman" w:hAnsi="Calibri" w:cs="Calibri"/>
                <w:sz w:val="16"/>
                <w:szCs w:val="16"/>
                <w:lang w:val="en-US"/>
              </w:rPr>
              <w:t xml:space="preserve">The </w:t>
            </w:r>
            <w:r w:rsidR="00001483" w:rsidRPr="003924DF">
              <w:rPr>
                <w:rFonts w:ascii="Calibri" w:eastAsia="Times New Roman" w:hAnsi="Calibri" w:cs="Calibri"/>
                <w:sz w:val="16"/>
                <w:szCs w:val="16"/>
                <w:lang w:val="en-US"/>
              </w:rPr>
              <w:t>survival to hospital discharge</w:t>
            </w:r>
            <w:r w:rsidR="00001483" w:rsidRPr="00B0155B">
              <w:rPr>
                <w:rFonts w:ascii="Calibri" w:eastAsia="Times New Roman" w:hAnsi="Calibri" w:cs="Calibri"/>
                <w:sz w:val="16"/>
                <w:szCs w:val="16"/>
                <w:lang w:val="en-US"/>
              </w:rPr>
              <w:t xml:space="preserve"> </w:t>
            </w:r>
            <w:r w:rsidR="00001483" w:rsidRPr="003924DF">
              <w:rPr>
                <w:rFonts w:ascii="Calibri" w:eastAsia="Times New Roman" w:hAnsi="Calibri" w:cs="Calibri"/>
                <w:sz w:val="16"/>
                <w:szCs w:val="16"/>
                <w:lang w:val="en-US"/>
              </w:rPr>
              <w:t>is</w:t>
            </w:r>
            <w:r w:rsidRPr="00B0155B">
              <w:rPr>
                <w:rFonts w:ascii="Calibri" w:eastAsia="Times New Roman" w:hAnsi="Calibri" w:cs="Calibri"/>
                <w:sz w:val="16"/>
                <w:szCs w:val="16"/>
                <w:lang w:val="en-US"/>
              </w:rPr>
              <w:t xml:space="preserve"> considered critical.</w:t>
            </w:r>
            <w:r w:rsidRPr="00CD2D3A">
              <w:rPr>
                <w:rFonts w:ascii="Calibri" w:eastAsia="Times New Roman" w:hAnsi="Calibri" w:cs="Calibri"/>
                <w:sz w:val="16"/>
                <w:szCs w:val="16"/>
                <w:lang w:val="en-US"/>
              </w:rPr>
              <w:t xml:space="preserve"> Given that the effect of drugs during cardiac arrest</w:t>
            </w:r>
            <w:r w:rsidR="00145E59">
              <w:rPr>
                <w:rFonts w:ascii="Calibri" w:eastAsia="Times New Roman" w:hAnsi="Calibri" w:cs="Calibri"/>
                <w:sz w:val="16"/>
                <w:szCs w:val="16"/>
                <w:lang w:val="en-US"/>
              </w:rPr>
              <w:t xml:space="preserve"> on </w:t>
            </w:r>
            <w:r w:rsidR="00001483">
              <w:rPr>
                <w:rFonts w:ascii="Calibri" w:eastAsia="Times New Roman" w:hAnsi="Calibri" w:cs="Calibri"/>
                <w:sz w:val="16"/>
                <w:szCs w:val="16"/>
                <w:lang w:val="en-US"/>
              </w:rPr>
              <w:t xml:space="preserve">this </w:t>
            </w:r>
            <w:r w:rsidR="00145E59">
              <w:rPr>
                <w:rFonts w:ascii="Calibri" w:eastAsia="Times New Roman" w:hAnsi="Calibri" w:cs="Calibri"/>
                <w:sz w:val="16"/>
                <w:szCs w:val="16"/>
                <w:lang w:val="en-US"/>
              </w:rPr>
              <w:t>outcome</w:t>
            </w:r>
            <w:r w:rsidRPr="00CD2D3A">
              <w:rPr>
                <w:rFonts w:ascii="Calibri" w:eastAsia="Times New Roman" w:hAnsi="Calibri" w:cs="Calibri"/>
                <w:sz w:val="16"/>
                <w:szCs w:val="16"/>
                <w:lang w:val="en-US"/>
              </w:rPr>
              <w:t xml:space="preserve"> is likely small</w:t>
            </w:r>
            <w:r w:rsidR="006D6A3E">
              <w:rPr>
                <w:rFonts w:ascii="Calibri" w:eastAsia="Times New Roman" w:hAnsi="Calibri" w:cs="Calibri"/>
                <w:sz w:val="16"/>
                <w:szCs w:val="16"/>
                <w:lang w:val="en-US"/>
              </w:rPr>
              <w:t>/moderate</w:t>
            </w:r>
            <w:r w:rsidR="00ED7130">
              <w:rPr>
                <w:rFonts w:ascii="Calibri" w:eastAsia="Times New Roman" w:hAnsi="Calibri" w:cs="Calibri"/>
                <w:sz w:val="16"/>
                <w:szCs w:val="16"/>
                <w:lang w:val="en-US"/>
              </w:rPr>
              <w:t xml:space="preserve"> </w:t>
            </w:r>
            <w:r w:rsidR="00113FD5">
              <w:rPr>
                <w:rFonts w:ascii="Calibri" w:eastAsia="Times New Roman" w:hAnsi="Calibri" w:cs="Calibri"/>
                <w:sz w:val="16"/>
                <w:szCs w:val="16"/>
                <w:lang w:val="en-US"/>
              </w:rPr>
              <w:t xml:space="preserve">(Holmberg 2019 111; Ali 2018 63), </w:t>
            </w:r>
            <w:r w:rsidRPr="00CD2D3A">
              <w:rPr>
                <w:rFonts w:ascii="Calibri" w:eastAsia="Times New Roman" w:hAnsi="Calibri" w:cs="Calibri"/>
                <w:sz w:val="16"/>
                <w:szCs w:val="16"/>
                <w:lang w:val="en-US"/>
              </w:rPr>
              <w:t xml:space="preserve">any difference in </w:t>
            </w:r>
            <w:r w:rsidR="00145E59">
              <w:rPr>
                <w:rFonts w:ascii="Calibri" w:eastAsia="Times New Roman" w:hAnsi="Calibri" w:cs="Calibri"/>
                <w:sz w:val="16"/>
                <w:szCs w:val="16"/>
                <w:lang w:val="en-US"/>
              </w:rPr>
              <w:t xml:space="preserve">critical </w:t>
            </w:r>
            <w:r w:rsidRPr="00CD2D3A">
              <w:rPr>
                <w:rFonts w:ascii="Calibri" w:eastAsia="Times New Roman" w:hAnsi="Calibri" w:cs="Calibri"/>
                <w:sz w:val="16"/>
                <w:szCs w:val="16"/>
                <w:lang w:val="en-US"/>
              </w:rPr>
              <w:t>outcomes between IO and IV drug administration is likely to be small</w:t>
            </w:r>
            <w:r w:rsidR="006D6A3E">
              <w:rPr>
                <w:rFonts w:ascii="Calibri" w:eastAsia="Times New Roman" w:hAnsi="Calibri" w:cs="Calibri"/>
                <w:sz w:val="16"/>
                <w:szCs w:val="16"/>
                <w:lang w:val="en-US"/>
              </w:rPr>
              <w:t>/moderate</w:t>
            </w:r>
            <w:r w:rsidRPr="00CD2D3A">
              <w:rPr>
                <w:rFonts w:ascii="Calibri" w:eastAsia="Times New Roman" w:hAnsi="Calibri" w:cs="Calibri"/>
                <w:sz w:val="16"/>
                <w:szCs w:val="16"/>
                <w:lang w:val="en-US"/>
              </w:rPr>
              <w:t>. It is therefore unlikely that the relatively strong association seen in observational studies (</w:t>
            </w:r>
            <w:r w:rsidR="00B0155B">
              <w:rPr>
                <w:rFonts w:ascii="Calibri" w:eastAsia="Times New Roman" w:hAnsi="Calibri" w:cs="Calibri"/>
                <w:sz w:val="16"/>
                <w:szCs w:val="16"/>
                <w:lang w:val="en-US"/>
              </w:rPr>
              <w:t xml:space="preserve">see </w:t>
            </w:r>
            <w:r w:rsidR="004911B2">
              <w:rPr>
                <w:rFonts w:ascii="Calibri" w:eastAsia="Times New Roman" w:hAnsi="Calibri" w:cs="Calibri"/>
                <w:sz w:val="16"/>
                <w:szCs w:val="16"/>
                <w:lang w:val="en-US"/>
              </w:rPr>
              <w:t xml:space="preserve">GRADE </w:t>
            </w:r>
            <w:r w:rsidR="00B0155B">
              <w:rPr>
                <w:rFonts w:ascii="Calibri" w:eastAsia="Times New Roman" w:hAnsi="Calibri" w:cs="Calibri"/>
                <w:sz w:val="16"/>
                <w:szCs w:val="16"/>
                <w:lang w:val="en-US"/>
              </w:rPr>
              <w:t xml:space="preserve">table </w:t>
            </w:r>
            <w:r w:rsidR="004911B2">
              <w:rPr>
                <w:rFonts w:ascii="Calibri" w:eastAsia="Times New Roman" w:hAnsi="Calibri" w:cs="Calibri"/>
                <w:sz w:val="16"/>
                <w:szCs w:val="16"/>
                <w:lang w:val="en-US"/>
              </w:rPr>
              <w:t>above</w:t>
            </w:r>
            <w:r w:rsidRPr="00CD2D3A">
              <w:rPr>
                <w:rFonts w:ascii="Calibri" w:eastAsia="Times New Roman" w:hAnsi="Calibri" w:cs="Calibri"/>
                <w:sz w:val="16"/>
                <w:szCs w:val="16"/>
                <w:lang w:val="en-US"/>
              </w:rPr>
              <w:t xml:space="preserve">) </w:t>
            </w:r>
            <w:r w:rsidR="00B067A8">
              <w:rPr>
                <w:rFonts w:ascii="Calibri" w:eastAsia="Times New Roman" w:hAnsi="Calibri" w:cs="Calibri"/>
                <w:sz w:val="16"/>
                <w:szCs w:val="16"/>
                <w:lang w:val="en-US"/>
              </w:rPr>
              <w:t xml:space="preserve">entirely </w:t>
            </w:r>
            <w:r w:rsidRPr="00CD2D3A">
              <w:rPr>
                <w:rFonts w:ascii="Calibri" w:eastAsia="Times New Roman" w:hAnsi="Calibri" w:cs="Calibri"/>
                <w:sz w:val="16"/>
                <w:szCs w:val="16"/>
                <w:lang w:val="en-US"/>
              </w:rPr>
              <w:t xml:space="preserve">reflects a causal effect. </w:t>
            </w:r>
            <w:r w:rsidR="00D65A05">
              <w:rPr>
                <w:rFonts w:ascii="Calibri" w:eastAsia="Times New Roman" w:hAnsi="Calibri" w:cs="Calibri"/>
                <w:sz w:val="16"/>
                <w:szCs w:val="16"/>
                <w:lang w:val="en-US"/>
              </w:rPr>
              <w:t xml:space="preserve">It is therefore likely that any anticipated undesirable effect is small to moderate.  </w:t>
            </w:r>
          </w:p>
          <w:p w14:paraId="6880E1D6" w14:textId="4D8488E2" w:rsidR="000526C3" w:rsidRPr="00B067A8" w:rsidRDefault="000526C3" w:rsidP="00742C82">
            <w:pPr>
              <w:spacing w:before="100" w:beforeAutospacing="1" w:after="100" w:afterAutospacing="1" w:line="240" w:lineRule="auto"/>
              <w:ind w:left="720"/>
              <w:divId w:val="819886302"/>
              <w:rPr>
                <w:rFonts w:ascii="Verdana" w:eastAsia="Times New Roman" w:hAnsi="Verdana"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526C3" w:rsidRPr="00CD2D3A" w:rsidRDefault="00045AFF">
            <w:pPr>
              <w:divId w:val="18818597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6D6A3E"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526C3" w:rsidRPr="00CD2D3A" w:rsidRDefault="00045AFF">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w:t>
            </w:r>
          </w:p>
          <w:p w14:paraId="638EB51C" w14:textId="77777777" w:rsidR="000526C3" w:rsidRPr="00CD2D3A" w:rsidRDefault="00045AFF">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t>What is the overall certainty of the evidence of effects?</w:t>
            </w:r>
          </w:p>
        </w:tc>
      </w:tr>
      <w:tr w:rsidR="000526C3"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6D6A3E" w14:paraId="187F63DB" w14:textId="77777777" w:rsidTr="00D65A05">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77777777" w:rsidR="000526C3" w:rsidRPr="00CD2D3A" w:rsidRDefault="00045AFF">
            <w:pPr>
              <w:divId w:val="400564511"/>
              <w:rPr>
                <w:rFonts w:ascii="Calibri" w:eastAsia="Times New Roman" w:hAnsi="Calibri" w:cs="Calibri"/>
                <w:sz w:val="16"/>
                <w:szCs w:val="16"/>
                <w:lang w:val="en-US"/>
              </w:rPr>
            </w:pP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Very 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High</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03D1EA" w14:textId="77777777" w:rsidR="000526C3" w:rsidRPr="00CD2D3A" w:rsidRDefault="00045AFF" w:rsidP="00B067A8">
            <w:pPr>
              <w:divId w:val="1122504190"/>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The overall certainty in the evidence from the observational studies is very low (see GRADE table). </w:t>
            </w:r>
          </w:p>
          <w:p w14:paraId="5D98FF2F" w14:textId="5B342B0B" w:rsidR="000526C3" w:rsidRPr="00CD2D3A" w:rsidRDefault="000526C3">
            <w:pPr>
              <w:rPr>
                <w:rFonts w:ascii="Calibri" w:eastAsia="Times New Roman" w:hAnsi="Calibri"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77777777" w:rsidR="000526C3" w:rsidRPr="00CD2D3A" w:rsidRDefault="00045AFF">
            <w:pPr>
              <w:divId w:val="1777214354"/>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bl>
    <w:p w14:paraId="4A80DB2A" w14:textId="77777777" w:rsidR="004911B2" w:rsidRDefault="004911B2">
      <w:pPr>
        <w:divId w:val="1347438940"/>
      </w:pPr>
      <w:r>
        <w:rPr>
          <w:b/>
          <w:bC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3147"/>
        <w:gridCol w:w="8698"/>
        <w:gridCol w:w="2539"/>
      </w:tblGrid>
      <w:tr w:rsidR="000526C3" w:rsidRPr="006D6A3E"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158C82C1" w:rsidR="000526C3" w:rsidRPr="00CD2D3A" w:rsidRDefault="00045AFF">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lastRenderedPageBreak/>
              <w:t>Values</w:t>
            </w:r>
          </w:p>
          <w:p w14:paraId="606E8294" w14:textId="77777777" w:rsidR="000526C3" w:rsidRPr="00CD2D3A" w:rsidRDefault="00045AFF">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0526C3"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6D6A3E"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77777777" w:rsidR="000526C3" w:rsidRPr="00CD2D3A" w:rsidRDefault="00045AFF">
            <w:pPr>
              <w:divId w:val="21180133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Possibly important uncertainty or variability</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important uncertainty or variability</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AE47B" w14:textId="15311DD2" w:rsidR="000526C3" w:rsidRPr="00CD2D3A" w:rsidRDefault="00045AFF" w:rsidP="00ED7130">
            <w:pPr>
              <w:divId w:val="19403253"/>
              <w:rPr>
                <w:rFonts w:ascii="Calibri" w:eastAsia="Times New Roman" w:hAnsi="Calibri" w:cs="Calibri"/>
                <w:sz w:val="16"/>
                <w:szCs w:val="16"/>
                <w:lang w:val="en-US"/>
              </w:rPr>
            </w:pPr>
            <w:r w:rsidRPr="00CD2D3A">
              <w:rPr>
                <w:rFonts w:ascii="Calibri" w:eastAsia="Times New Roman" w:hAnsi="Calibri" w:cs="Calibri"/>
                <w:sz w:val="16"/>
                <w:szCs w:val="16"/>
                <w:lang w:val="en-US"/>
              </w:rPr>
              <w:t>Patients and providers are likely</w:t>
            </w:r>
            <w:r w:rsidR="00ED7130">
              <w:rPr>
                <w:rFonts w:ascii="Calibri" w:eastAsia="Times New Roman" w:hAnsi="Calibri" w:cs="Calibri"/>
                <w:sz w:val="16"/>
                <w:szCs w:val="16"/>
                <w:lang w:val="en-US"/>
              </w:rPr>
              <w:t xml:space="preserve"> to value the included outcomes (</w:t>
            </w:r>
            <w:r w:rsidR="00740364">
              <w:rPr>
                <w:rFonts w:ascii="Calibri" w:eastAsia="Times New Roman" w:hAnsi="Calibri" w:cs="Calibri"/>
                <w:sz w:val="16"/>
                <w:szCs w:val="16"/>
                <w:lang w:val="en-US"/>
              </w:rPr>
              <w:t>Haywood 2018 e789</w:t>
            </w:r>
            <w:r w:rsidR="00ED7130">
              <w:rPr>
                <w:rFonts w:ascii="Calibri" w:eastAsia="Times New Roman" w:hAnsi="Calibri" w:cs="Calibri"/>
                <w:sz w:val="16"/>
                <w:szCs w:val="16"/>
                <w:lang w:val="en-US"/>
              </w:rPr>
              <w:t>).</w:t>
            </w:r>
            <w:r w:rsidR="00ED7130" w:rsidRPr="00CD2D3A">
              <w:rPr>
                <w:rFonts w:ascii="Calibri" w:eastAsia="Times New Roman" w:hAnsi="Calibri" w:cs="Calibri"/>
                <w:sz w:val="16"/>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77777777" w:rsidR="000526C3" w:rsidRPr="00CD2D3A" w:rsidRDefault="00045AFF">
            <w:pPr>
              <w:divId w:val="1312325065"/>
              <w:rPr>
                <w:rFonts w:ascii="Calibri" w:eastAsia="Times New Roman" w:hAnsi="Calibri" w:cs="Calibri"/>
                <w:sz w:val="16"/>
                <w:szCs w:val="16"/>
                <w:lang w:val="en-US"/>
              </w:rPr>
            </w:pPr>
            <w:r w:rsidRPr="00CD2D3A">
              <w:rPr>
                <w:rFonts w:ascii="Calibri" w:eastAsia="Times New Roman" w:hAnsi="Calibri" w:cs="Calibri"/>
                <w:sz w:val="16"/>
                <w:szCs w:val="16"/>
                <w:lang w:val="en-US"/>
              </w:rPr>
              <w:t>Longer term outcomes and health-related quality of life was not addressed in the available studies</w:t>
            </w:r>
          </w:p>
        </w:tc>
      </w:tr>
      <w:tr w:rsidR="000526C3" w:rsidRPr="006D6A3E"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526C3" w:rsidRPr="00CD2D3A" w:rsidRDefault="00045AFF">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0526C3" w:rsidRPr="00CD2D3A" w:rsidRDefault="00045AFF">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0526C3"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6D6A3E"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45DEA5F1" w:rsidR="000526C3" w:rsidRPr="00CD2D3A" w:rsidRDefault="00045AFF">
            <w:pPr>
              <w:divId w:val="159219864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2A4CA9" w14:textId="77777777" w:rsidR="000526C3" w:rsidRPr="00CD2D3A" w:rsidRDefault="00045AFF" w:rsidP="00B067A8">
            <w:pPr>
              <w:divId w:val="797381346"/>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The pooled results from the observational studies favor the comparison (IV). However, there is very low certainty in these results as noted above. </w:t>
            </w:r>
          </w:p>
          <w:p w14:paraId="0E330B15" w14:textId="630D80CB" w:rsidR="00B067A8" w:rsidRPr="00B067A8" w:rsidRDefault="00B067A8">
            <w:pPr>
              <w:rPr>
                <w:rFonts w:ascii="Calibri" w:eastAsia="Times New Roman" w:hAnsi="Calibri"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526C3" w:rsidRPr="00B067A8" w:rsidRDefault="00045AFF">
            <w:pPr>
              <w:divId w:val="1321084420"/>
              <w:rPr>
                <w:rFonts w:ascii="Calibri" w:eastAsia="Times New Roman" w:hAnsi="Calibri" w:cs="Calibri"/>
                <w:sz w:val="16"/>
                <w:szCs w:val="16"/>
                <w:lang w:val="en-US"/>
              </w:rPr>
            </w:pPr>
            <w:r w:rsidRPr="00B067A8">
              <w:rPr>
                <w:rFonts w:ascii="Calibri" w:eastAsia="Times New Roman" w:hAnsi="Calibri" w:cs="Calibri"/>
                <w:sz w:val="16"/>
                <w:szCs w:val="16"/>
                <w:lang w:val="en-US"/>
              </w:rPr>
              <w:br/>
            </w:r>
          </w:p>
        </w:tc>
      </w:tr>
      <w:tr w:rsidR="000526C3" w:rsidRPr="006D6A3E"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526C3" w:rsidRPr="00CD2D3A" w:rsidRDefault="00045AFF">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526C3" w:rsidRPr="00CD2D3A" w:rsidRDefault="00045AFF">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0526C3"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6D6A3E" w14:paraId="00C13589" w14:textId="77777777" w:rsidTr="00742C82">
        <w:trPr>
          <w:divId w:val="1347438940"/>
          <w:trHeight w:val="1567"/>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8207F" w14:textId="77777777" w:rsidR="000526C3" w:rsidRPr="00CD2D3A" w:rsidRDefault="00045AFF">
            <w:pPr>
              <w:divId w:val="884949399"/>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costs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costs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Negligible costs and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697BF2F1" w:rsidR="000526C3" w:rsidRPr="00CD2D3A" w:rsidRDefault="00045AFF">
            <w:pPr>
              <w:divId w:val="813763953"/>
              <w:rPr>
                <w:rFonts w:ascii="Calibri" w:eastAsia="Times New Roman" w:hAnsi="Calibri" w:cs="Calibri"/>
                <w:sz w:val="16"/>
                <w:szCs w:val="16"/>
                <w:lang w:val="en-US"/>
              </w:rPr>
            </w:pPr>
            <w:r w:rsidRPr="00CD2D3A">
              <w:rPr>
                <w:rFonts w:ascii="Calibri" w:eastAsia="Times New Roman" w:hAnsi="Calibri" w:cs="Calibri"/>
                <w:sz w:val="16"/>
                <w:szCs w:val="16"/>
                <w:lang w:val="en-US"/>
              </w:rPr>
              <w:t>We did not identify any studies</w:t>
            </w:r>
            <w:r w:rsidR="00C82A4F">
              <w:rPr>
                <w:rFonts w:ascii="Calibri" w:eastAsia="Times New Roman" w:hAnsi="Calibri" w:cs="Calibri"/>
                <w:sz w:val="16"/>
                <w:szCs w:val="16"/>
                <w:lang w:val="en-US"/>
              </w:rPr>
              <w:t xml:space="preserve"> that</w:t>
            </w:r>
            <w:r w:rsidRPr="00CD2D3A">
              <w:rPr>
                <w:rFonts w:ascii="Calibri" w:eastAsia="Times New Roman" w:hAnsi="Calibri" w:cs="Calibri"/>
                <w:sz w:val="16"/>
                <w:szCs w:val="16"/>
                <w:lang w:val="en-US"/>
              </w:rPr>
              <w:t xml:space="preserve"> specifically compar</w:t>
            </w:r>
            <w:r w:rsidR="00C82A4F">
              <w:rPr>
                <w:rFonts w:ascii="Calibri" w:eastAsia="Times New Roman" w:hAnsi="Calibri" w:cs="Calibri"/>
                <w:sz w:val="16"/>
                <w:szCs w:val="16"/>
                <w:lang w:val="en-US"/>
              </w:rPr>
              <w:t>ed</w:t>
            </w:r>
            <w:r w:rsidRPr="00CD2D3A">
              <w:rPr>
                <w:rFonts w:ascii="Calibri" w:eastAsia="Times New Roman" w:hAnsi="Calibri" w:cs="Calibri"/>
                <w:sz w:val="16"/>
                <w:szCs w:val="16"/>
                <w:lang w:val="en-US"/>
              </w:rPr>
              <w:t xml:space="preserve"> resources including costs between the two interventions.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4519A3A5" w:rsidR="000526C3" w:rsidRPr="00CD2D3A" w:rsidRDefault="001B2F28" w:rsidP="001B2F28">
            <w:pPr>
              <w:divId w:val="509099511"/>
              <w:rPr>
                <w:rFonts w:ascii="Calibri" w:eastAsia="Times New Roman" w:hAnsi="Calibri" w:cs="Calibri"/>
                <w:sz w:val="16"/>
                <w:szCs w:val="16"/>
                <w:lang w:val="en-US"/>
              </w:rPr>
            </w:pPr>
            <w:r w:rsidRPr="001B2F28">
              <w:rPr>
                <w:rFonts w:ascii="Calibri" w:eastAsia="Times New Roman" w:hAnsi="Calibri" w:cs="Calibri"/>
                <w:sz w:val="16"/>
                <w:szCs w:val="16"/>
                <w:lang w:val="en-US"/>
              </w:rPr>
              <w:t>The costs will</w:t>
            </w:r>
            <w:r>
              <w:rPr>
                <w:rFonts w:ascii="Calibri" w:eastAsia="Times New Roman" w:hAnsi="Calibri" w:cs="Calibri"/>
                <w:sz w:val="16"/>
                <w:szCs w:val="16"/>
                <w:lang w:val="en-US"/>
              </w:rPr>
              <w:t xml:space="preserve"> vary according to </w:t>
            </w:r>
            <w:r w:rsidR="00B5140F">
              <w:rPr>
                <w:rFonts w:ascii="Calibri" w:eastAsia="Times New Roman" w:hAnsi="Calibri" w:cs="Calibri"/>
                <w:sz w:val="16"/>
                <w:szCs w:val="16"/>
                <w:lang w:val="en-US"/>
              </w:rPr>
              <w:t xml:space="preserve">the </w:t>
            </w:r>
            <w:r>
              <w:rPr>
                <w:rFonts w:ascii="Calibri" w:eastAsia="Times New Roman" w:hAnsi="Calibri" w:cs="Calibri"/>
                <w:sz w:val="16"/>
                <w:szCs w:val="16"/>
                <w:lang w:val="en-US"/>
              </w:rPr>
              <w:t>setting, type, and avai</w:t>
            </w:r>
            <w:r w:rsidR="00920C0A">
              <w:rPr>
                <w:rFonts w:ascii="Calibri" w:eastAsia="Times New Roman" w:hAnsi="Calibri" w:cs="Calibri"/>
                <w:sz w:val="16"/>
                <w:szCs w:val="16"/>
                <w:lang w:val="en-US"/>
              </w:rPr>
              <w:t>lability of devices. Both</w:t>
            </w:r>
            <w:r w:rsidRPr="001B2F28">
              <w:rPr>
                <w:rFonts w:ascii="Calibri" w:eastAsia="Times New Roman" w:hAnsi="Calibri" w:cs="Calibri"/>
                <w:sz w:val="16"/>
                <w:szCs w:val="16"/>
                <w:lang w:val="en-US"/>
              </w:rPr>
              <w:t xml:space="preserve"> IV and IO a</w:t>
            </w:r>
            <w:r>
              <w:rPr>
                <w:rFonts w:ascii="Calibri" w:eastAsia="Times New Roman" w:hAnsi="Calibri" w:cs="Calibri"/>
                <w:sz w:val="16"/>
                <w:szCs w:val="16"/>
                <w:lang w:val="en-US"/>
              </w:rPr>
              <w:t>c</w:t>
            </w:r>
            <w:r w:rsidRPr="001B2F28">
              <w:rPr>
                <w:rFonts w:ascii="Calibri" w:eastAsia="Times New Roman" w:hAnsi="Calibri" w:cs="Calibri"/>
                <w:sz w:val="16"/>
                <w:szCs w:val="16"/>
                <w:lang w:val="en-US"/>
              </w:rPr>
              <w:t>cess require s</w:t>
            </w:r>
            <w:r>
              <w:rPr>
                <w:rFonts w:ascii="Calibri" w:eastAsia="Times New Roman" w:hAnsi="Calibri" w:cs="Calibri"/>
                <w:sz w:val="16"/>
                <w:szCs w:val="16"/>
                <w:lang w:val="en-US"/>
              </w:rPr>
              <w:t xml:space="preserve">pecific training and experience. </w:t>
            </w:r>
          </w:p>
        </w:tc>
      </w:tr>
    </w:tbl>
    <w:p w14:paraId="4C138F23" w14:textId="77777777" w:rsidR="004911B2" w:rsidRDefault="004911B2">
      <w:pPr>
        <w:divId w:val="1347438940"/>
      </w:pPr>
      <w:r>
        <w:rPr>
          <w:b/>
          <w:bC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3147"/>
        <w:gridCol w:w="8698"/>
        <w:gridCol w:w="2539"/>
      </w:tblGrid>
      <w:tr w:rsidR="000526C3" w:rsidRPr="006D6A3E"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4C64A4D0" w:rsidR="000526C3" w:rsidRPr="00CD2D3A" w:rsidRDefault="00045AFF">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lastRenderedPageBreak/>
              <w:t>Certainty of evidence of required resources</w:t>
            </w:r>
          </w:p>
          <w:p w14:paraId="2879EB31" w14:textId="77777777" w:rsidR="000526C3" w:rsidRPr="00CD2D3A" w:rsidRDefault="00045AFF">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0526C3"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4911B2" w:rsidRPr="006D6A3E" w14:paraId="1B5199E4" w14:textId="77777777" w:rsidTr="00742C82">
        <w:trPr>
          <w:divId w:val="1347438940"/>
          <w:trHeight w:val="152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7084209D" w:rsidR="000526C3" w:rsidRPr="00CD2D3A" w:rsidRDefault="00045AFF">
            <w:pPr>
              <w:divId w:val="42508209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Very 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High</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4FDFFFCA" w:rsidR="000526C3" w:rsidRPr="00CD2D3A" w:rsidRDefault="00045AFF">
            <w:pPr>
              <w:divId w:val="1777090316"/>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did not identify any studies </w:t>
            </w:r>
            <w:r w:rsidR="00C82A4F">
              <w:rPr>
                <w:rFonts w:ascii="Calibri" w:eastAsia="Times New Roman" w:hAnsi="Calibri" w:cs="Calibri"/>
                <w:sz w:val="16"/>
                <w:szCs w:val="16"/>
                <w:lang w:val="en-US"/>
              </w:rPr>
              <w:t xml:space="preserve">that </w:t>
            </w:r>
            <w:r w:rsidRPr="00CD2D3A">
              <w:rPr>
                <w:rFonts w:ascii="Calibri" w:eastAsia="Times New Roman" w:hAnsi="Calibri" w:cs="Calibri"/>
                <w:sz w:val="16"/>
                <w:szCs w:val="16"/>
                <w:lang w:val="en-US"/>
              </w:rPr>
              <w:t>specifically compar</w:t>
            </w:r>
            <w:r w:rsidR="00C82A4F">
              <w:rPr>
                <w:rFonts w:ascii="Calibri" w:eastAsia="Times New Roman" w:hAnsi="Calibri" w:cs="Calibri"/>
                <w:sz w:val="16"/>
                <w:szCs w:val="16"/>
                <w:lang w:val="en-US"/>
              </w:rPr>
              <w:t>ed</w:t>
            </w:r>
            <w:r w:rsidRPr="00CD2D3A">
              <w:rPr>
                <w:rFonts w:ascii="Calibri" w:eastAsia="Times New Roman" w:hAnsi="Calibri" w:cs="Calibri"/>
                <w:sz w:val="16"/>
                <w:szCs w:val="16"/>
                <w:lang w:val="en-US"/>
              </w:rPr>
              <w:t xml:space="preserve"> resources including costs between the two interventions.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526C3" w:rsidRPr="00CD2D3A" w:rsidRDefault="00045AFF">
            <w:pPr>
              <w:divId w:val="187611318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6D6A3E"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526C3" w:rsidRPr="00CD2D3A" w:rsidRDefault="00045AFF">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0526C3" w:rsidRPr="00CD2D3A" w:rsidRDefault="00045AFF">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0526C3"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6D6A3E"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77777777" w:rsidR="000526C3" w:rsidRPr="00CD2D3A" w:rsidRDefault="00045AFF">
            <w:pPr>
              <w:divId w:val="15585886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395900E9" w:rsidR="000526C3" w:rsidRPr="00CD2D3A" w:rsidRDefault="00045AFF">
            <w:pPr>
              <w:divId w:val="600456648"/>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did not identify any studies </w:t>
            </w:r>
            <w:r w:rsidR="00C82A4F">
              <w:rPr>
                <w:rFonts w:ascii="Calibri" w:eastAsia="Times New Roman" w:hAnsi="Calibri" w:cs="Calibri"/>
                <w:sz w:val="16"/>
                <w:szCs w:val="16"/>
                <w:lang w:val="en-US"/>
              </w:rPr>
              <w:t>that addressed</w:t>
            </w:r>
            <w:r w:rsidR="00C82A4F" w:rsidRPr="00CD2D3A">
              <w:rPr>
                <w:rFonts w:ascii="Calibri" w:eastAsia="Times New Roman" w:hAnsi="Calibri" w:cs="Calibri"/>
                <w:sz w:val="16"/>
                <w:szCs w:val="16"/>
                <w:lang w:val="en-US"/>
              </w:rPr>
              <w:t xml:space="preserve"> </w:t>
            </w:r>
            <w:r w:rsidRPr="00CD2D3A">
              <w:rPr>
                <w:rFonts w:ascii="Calibri" w:eastAsia="Times New Roman" w:hAnsi="Calibri" w:cs="Calibri"/>
                <w:sz w:val="16"/>
                <w:szCs w:val="16"/>
                <w:lang w:val="en-US"/>
              </w:rPr>
              <w:t xml:space="preserve">cost-effectiveness.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526C3" w:rsidRPr="00CD2D3A" w:rsidRDefault="00045AFF">
            <w:pPr>
              <w:divId w:val="2070108790"/>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526C3" w:rsidRPr="006D6A3E"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526C3" w:rsidRPr="00CD2D3A" w:rsidRDefault="00045AFF">
            <w:pPr>
              <w:pStyle w:val="Heading2"/>
              <w:spacing w:before="0" w:beforeAutospacing="0" w:after="0" w:afterAutospacing="0"/>
              <w:divId w:val="903372042"/>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Equity</w:t>
            </w:r>
          </w:p>
          <w:p w14:paraId="766E8B0A" w14:textId="77777777" w:rsidR="000526C3" w:rsidRPr="00CD2D3A" w:rsidRDefault="00045AFF">
            <w:pPr>
              <w:pStyle w:val="Subtitle1"/>
              <w:spacing w:before="0" w:beforeAutospacing="0" w:after="0" w:afterAutospacing="0"/>
              <w:divId w:val="903372042"/>
              <w:rPr>
                <w:rFonts w:ascii="Calibri" w:hAnsi="Calibri" w:cs="Calibri"/>
                <w:color w:val="FFFFFF"/>
                <w:sz w:val="16"/>
                <w:szCs w:val="16"/>
                <w:lang w:val="en-US"/>
              </w:rPr>
            </w:pPr>
            <w:r w:rsidRPr="00CD2D3A">
              <w:rPr>
                <w:rFonts w:ascii="Calibri" w:hAnsi="Calibri" w:cs="Calibri"/>
                <w:color w:val="FFFFFF"/>
                <w:sz w:val="16"/>
                <w:szCs w:val="16"/>
                <w:lang w:val="en-US"/>
              </w:rPr>
              <w:t>What would be the impact on health equity?</w:t>
            </w:r>
          </w:p>
        </w:tc>
      </w:tr>
      <w:tr w:rsidR="000526C3"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635CE"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77777777" w:rsidR="000526C3" w:rsidRPr="00CD2D3A" w:rsidRDefault="00045AFF">
            <w:pPr>
              <w:divId w:val="42264778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impact</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4F58905F" w:rsidR="000526C3" w:rsidRPr="00CD2D3A" w:rsidRDefault="00045AFF">
            <w:pPr>
              <w:divId w:val="1995839398"/>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did not identify any studies </w:t>
            </w:r>
            <w:r w:rsidR="00C82A4F">
              <w:rPr>
                <w:rFonts w:ascii="Calibri" w:eastAsia="Times New Roman" w:hAnsi="Calibri" w:cs="Calibri"/>
                <w:sz w:val="16"/>
                <w:szCs w:val="16"/>
                <w:lang w:val="en-US"/>
              </w:rPr>
              <w:t>that addressed</w:t>
            </w:r>
            <w:r w:rsidR="00C82A4F" w:rsidRPr="00CD2D3A">
              <w:rPr>
                <w:rFonts w:ascii="Calibri" w:eastAsia="Times New Roman" w:hAnsi="Calibri" w:cs="Calibri"/>
                <w:sz w:val="16"/>
                <w:szCs w:val="16"/>
                <w:lang w:val="en-US"/>
              </w:rPr>
              <w:t xml:space="preserve"> </w:t>
            </w:r>
            <w:r w:rsidRPr="00CD2D3A">
              <w:rPr>
                <w:rFonts w:ascii="Calibri" w:eastAsia="Times New Roman" w:hAnsi="Calibri" w:cs="Calibri"/>
                <w:sz w:val="16"/>
                <w:szCs w:val="16"/>
                <w:lang w:val="en-US"/>
              </w:rPr>
              <w:t xml:space="preserve">health equity.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D84FFF6" w:rsidR="000526C3" w:rsidRPr="00CD2D3A" w:rsidRDefault="00A635CE">
            <w:pPr>
              <w:divId w:val="1813330621"/>
              <w:rPr>
                <w:rFonts w:ascii="Calibri" w:eastAsia="Times New Roman" w:hAnsi="Calibri" w:cs="Calibri"/>
                <w:sz w:val="16"/>
                <w:szCs w:val="16"/>
                <w:lang w:val="en-US"/>
              </w:rPr>
            </w:pPr>
            <w:r>
              <w:rPr>
                <w:rFonts w:ascii="Calibri" w:eastAsia="Times New Roman" w:hAnsi="Calibri" w:cs="Calibri"/>
                <w:sz w:val="16"/>
                <w:szCs w:val="16"/>
                <w:lang w:val="en-US"/>
              </w:rPr>
              <w:t xml:space="preserve">IO access is not available in all locations especially in low-resource settings. A recommendation for IO access could therefore increase inequity. </w:t>
            </w:r>
            <w:r w:rsidR="00045AFF" w:rsidRPr="00CD2D3A">
              <w:rPr>
                <w:rFonts w:ascii="Calibri" w:eastAsia="Times New Roman" w:hAnsi="Calibri" w:cs="Calibri"/>
                <w:sz w:val="16"/>
                <w:szCs w:val="16"/>
                <w:lang w:val="en-US"/>
              </w:rPr>
              <w:br/>
            </w:r>
          </w:p>
        </w:tc>
      </w:tr>
      <w:tr w:rsidR="000526C3" w:rsidRPr="006D6A3E"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526C3" w:rsidRPr="00CD2D3A" w:rsidRDefault="00045AFF">
            <w:pPr>
              <w:pStyle w:val="Heading2"/>
              <w:spacing w:before="0" w:beforeAutospacing="0" w:after="0" w:afterAutospacing="0"/>
              <w:divId w:val="153107063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Acceptability</w:t>
            </w:r>
          </w:p>
          <w:p w14:paraId="40D50C87" w14:textId="77777777" w:rsidR="000526C3" w:rsidRPr="00CD2D3A" w:rsidRDefault="00045AFF">
            <w:pPr>
              <w:pStyle w:val="Subtitle1"/>
              <w:spacing w:before="0" w:beforeAutospacing="0" w:after="0" w:afterAutospacing="0"/>
              <w:divId w:val="1531070638"/>
              <w:rPr>
                <w:rFonts w:ascii="Calibri" w:hAnsi="Calibri" w:cs="Calibri"/>
                <w:color w:val="FFFFFF"/>
                <w:sz w:val="16"/>
                <w:szCs w:val="16"/>
                <w:lang w:val="en-US"/>
              </w:rPr>
            </w:pPr>
            <w:r w:rsidRPr="00CD2D3A">
              <w:rPr>
                <w:rFonts w:ascii="Calibri" w:hAnsi="Calibri" w:cs="Calibri"/>
                <w:color w:val="FFFFFF"/>
                <w:sz w:val="16"/>
                <w:szCs w:val="16"/>
                <w:lang w:val="en-US"/>
              </w:rPr>
              <w:t>Is the intervention acceptable to key stakeholders?</w:t>
            </w:r>
          </w:p>
        </w:tc>
      </w:tr>
      <w:tr w:rsidR="000526C3"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6D6A3E" w14:paraId="7D50F429" w14:textId="77777777" w:rsidTr="00D65A05">
        <w:trPr>
          <w:divId w:val="1347438940"/>
          <w:trHeight w:val="2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77777777" w:rsidR="000526C3" w:rsidRPr="00CD2D3A" w:rsidRDefault="00045AFF">
            <w:pPr>
              <w:divId w:val="1808934227"/>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77777777" w:rsidR="000526C3" w:rsidRDefault="00045AFF">
            <w:pPr>
              <w:divId w:val="1397168485"/>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have not identified any research that assessed acceptability. </w:t>
            </w:r>
          </w:p>
          <w:p w14:paraId="2F1E5CBB" w14:textId="77777777" w:rsidR="00B067A8" w:rsidRDefault="00B067A8">
            <w:pPr>
              <w:divId w:val="1397168485"/>
              <w:rPr>
                <w:rFonts w:ascii="Calibri" w:eastAsia="Times New Roman" w:hAnsi="Calibri" w:cs="Calibri"/>
                <w:sz w:val="16"/>
                <w:szCs w:val="16"/>
                <w:lang w:val="en-US"/>
              </w:rPr>
            </w:pPr>
          </w:p>
          <w:p w14:paraId="3AD83346" w14:textId="77777777" w:rsidR="00B067A8" w:rsidRDefault="00B067A8">
            <w:pPr>
              <w:divId w:val="1397168485"/>
              <w:rPr>
                <w:rFonts w:ascii="Calibri" w:eastAsia="Times New Roman" w:hAnsi="Calibri" w:cs="Calibri"/>
                <w:sz w:val="16"/>
                <w:szCs w:val="16"/>
                <w:lang w:val="en-US"/>
              </w:rPr>
            </w:pPr>
          </w:p>
          <w:p w14:paraId="1333C6E5" w14:textId="77777777" w:rsidR="00B067A8" w:rsidRPr="00CD2D3A" w:rsidRDefault="00B067A8">
            <w:pPr>
              <w:divId w:val="1397168485"/>
              <w:rPr>
                <w:rFonts w:ascii="Calibri" w:eastAsia="Times New Roman" w:hAnsi="Calibri"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77777777" w:rsidR="000526C3" w:rsidRPr="00CD2D3A" w:rsidRDefault="00045AFF">
            <w:pPr>
              <w:divId w:val="1296640506"/>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Both IO and IV access is likely acceptable to key stakeholders as both are currently being used in clinical practice. </w:t>
            </w:r>
          </w:p>
        </w:tc>
      </w:tr>
      <w:tr w:rsidR="000526C3" w:rsidRPr="006D6A3E"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526C3" w:rsidRPr="00CD2D3A" w:rsidRDefault="00045AFF">
            <w:pPr>
              <w:pStyle w:val="Heading2"/>
              <w:spacing w:before="0" w:beforeAutospacing="0" w:after="0" w:afterAutospacing="0"/>
              <w:divId w:val="192356339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lastRenderedPageBreak/>
              <w:t>Feasibility</w:t>
            </w:r>
          </w:p>
          <w:p w14:paraId="7B340CE6" w14:textId="77777777" w:rsidR="000526C3" w:rsidRPr="00CD2D3A" w:rsidRDefault="00045AFF">
            <w:pPr>
              <w:pStyle w:val="Subtitle1"/>
              <w:spacing w:before="0" w:beforeAutospacing="0" w:after="0" w:afterAutospacing="0"/>
              <w:divId w:val="1923563398"/>
              <w:rPr>
                <w:rFonts w:ascii="Calibri" w:hAnsi="Calibri" w:cs="Calibri"/>
                <w:color w:val="FFFFFF"/>
                <w:sz w:val="16"/>
                <w:szCs w:val="16"/>
                <w:lang w:val="en-US"/>
              </w:rPr>
            </w:pPr>
            <w:r w:rsidRPr="00CD2D3A">
              <w:rPr>
                <w:rFonts w:ascii="Calibri" w:hAnsi="Calibri" w:cs="Calibri"/>
                <w:color w:val="FFFFFF"/>
                <w:sz w:val="16"/>
                <w:szCs w:val="16"/>
                <w:lang w:val="en-US"/>
              </w:rPr>
              <w:t>Is the intervention feasible to implement?</w:t>
            </w:r>
          </w:p>
        </w:tc>
      </w:tr>
      <w:tr w:rsidR="000526C3"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6D6A3E"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77777777" w:rsidR="000526C3" w:rsidRPr="00CD2D3A" w:rsidRDefault="00045AFF">
            <w:pPr>
              <w:divId w:val="205928128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5694C44D" w:rsidR="000526C3" w:rsidRPr="00CD2D3A" w:rsidRDefault="00045AFF" w:rsidP="00ED7130">
            <w:pPr>
              <w:divId w:val="177352821"/>
              <w:rPr>
                <w:rFonts w:ascii="Calibri" w:eastAsia="Times New Roman" w:hAnsi="Calibri" w:cs="Calibri"/>
                <w:sz w:val="16"/>
                <w:szCs w:val="16"/>
                <w:lang w:val="en-US"/>
              </w:rPr>
            </w:pPr>
            <w:r w:rsidRPr="00CD2D3A">
              <w:rPr>
                <w:rFonts w:ascii="Calibri" w:eastAsia="Times New Roman" w:hAnsi="Calibri" w:cs="Calibri"/>
                <w:sz w:val="16"/>
                <w:szCs w:val="16"/>
                <w:lang w:val="en-US"/>
              </w:rPr>
              <w:t>Feasibility was not a pre</w:t>
            </w:r>
            <w:r w:rsidR="00D26AE4">
              <w:rPr>
                <w:rFonts w:ascii="Calibri" w:eastAsia="Times New Roman" w:hAnsi="Calibri" w:cs="Calibri"/>
                <w:sz w:val="16"/>
                <w:szCs w:val="16"/>
                <w:lang w:val="en-US"/>
              </w:rPr>
              <w:t>-</w:t>
            </w:r>
            <w:r w:rsidRPr="00CD2D3A">
              <w:rPr>
                <w:rFonts w:ascii="Calibri" w:eastAsia="Times New Roman" w:hAnsi="Calibri" w:cs="Calibri"/>
                <w:sz w:val="16"/>
                <w:szCs w:val="16"/>
                <w:lang w:val="en-US"/>
              </w:rPr>
              <w:t>specified outcome in th</w:t>
            </w:r>
            <w:r w:rsidR="00EE43B2">
              <w:rPr>
                <w:rFonts w:ascii="Calibri" w:eastAsia="Times New Roman" w:hAnsi="Calibri" w:cs="Calibri"/>
                <w:sz w:val="16"/>
                <w:szCs w:val="16"/>
                <w:lang w:val="en-US"/>
              </w:rPr>
              <w:t>is</w:t>
            </w:r>
            <w:r w:rsidRPr="00CD2D3A">
              <w:rPr>
                <w:rFonts w:ascii="Calibri" w:eastAsia="Times New Roman" w:hAnsi="Calibri" w:cs="Calibri"/>
                <w:sz w:val="16"/>
                <w:szCs w:val="16"/>
                <w:lang w:val="en-US"/>
              </w:rPr>
              <w:t xml:space="preserve"> </w:t>
            </w:r>
            <w:r w:rsidR="00B067A8" w:rsidRPr="00CD2D3A">
              <w:rPr>
                <w:rFonts w:ascii="Calibri" w:eastAsia="Times New Roman" w:hAnsi="Calibri" w:cs="Calibri"/>
                <w:sz w:val="16"/>
                <w:szCs w:val="16"/>
                <w:lang w:val="en-US"/>
              </w:rPr>
              <w:t>systematic</w:t>
            </w:r>
            <w:r w:rsidRPr="00CD2D3A">
              <w:rPr>
                <w:rFonts w:ascii="Calibri" w:eastAsia="Times New Roman" w:hAnsi="Calibri" w:cs="Calibri"/>
                <w:sz w:val="16"/>
                <w:szCs w:val="16"/>
                <w:lang w:val="en-US"/>
              </w:rPr>
              <w:t xml:space="preserve"> review. In the only randomized trial on the topic, tibial IO access as compared to humeral IO or peripheral IV had a higher </w:t>
            </w:r>
            <w:r w:rsidR="00B067A8" w:rsidRPr="00CD2D3A">
              <w:rPr>
                <w:rFonts w:ascii="Calibri" w:eastAsia="Times New Roman" w:hAnsi="Calibri" w:cs="Calibri"/>
                <w:sz w:val="16"/>
                <w:szCs w:val="16"/>
                <w:lang w:val="en-US"/>
              </w:rPr>
              <w:t>successful</w:t>
            </w:r>
            <w:r w:rsidRPr="00CD2D3A">
              <w:rPr>
                <w:rFonts w:ascii="Calibri" w:eastAsia="Times New Roman" w:hAnsi="Calibri" w:cs="Calibri"/>
                <w:sz w:val="16"/>
                <w:szCs w:val="16"/>
                <w:lang w:val="en-US"/>
              </w:rPr>
              <w:t xml:space="preserve"> first attempt success</w:t>
            </w:r>
            <w:r w:rsidR="00ED7130">
              <w:rPr>
                <w:rFonts w:ascii="Calibri" w:eastAsia="Times New Roman" w:hAnsi="Calibri" w:cs="Calibri"/>
                <w:sz w:val="16"/>
                <w:szCs w:val="16"/>
                <w:lang w:val="en-US"/>
              </w:rPr>
              <w:t xml:space="preserve"> (Reades 2011 509).</w:t>
            </w:r>
            <w:r w:rsidRPr="00CD2D3A">
              <w:rPr>
                <w:rFonts w:ascii="Calibri" w:eastAsia="Times New Roman" w:hAnsi="Calibri" w:cs="Calibri"/>
                <w:sz w:val="16"/>
                <w:szCs w:val="16"/>
                <w:lang w:val="en-US"/>
              </w:rPr>
              <w:t xml:space="preserve"> Observational studies have had mixed results, but IO access appears to be feasible although there is some concern related to potential unrecognized misplacement. IO access was used in 20-30% of patients in two recent large trials (ALPS, PARAMEDIC2).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526C3" w:rsidRPr="00CD2D3A" w:rsidRDefault="00045AFF">
            <w:pPr>
              <w:divId w:val="585457396"/>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bl>
    <w:p w14:paraId="513488CF" w14:textId="77777777"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t>Summary of judgements</w:t>
      </w:r>
    </w:p>
    <w:tbl>
      <w:tblPr>
        <w:tblW w:w="5000" w:type="pct"/>
        <w:tblLook w:val="04A0" w:firstRow="1" w:lastRow="0" w:firstColumn="1" w:lastColumn="0" w:noHBand="0" w:noVBand="1"/>
      </w:tblPr>
      <w:tblGrid>
        <w:gridCol w:w="2361"/>
        <w:gridCol w:w="1731"/>
        <w:gridCol w:w="1735"/>
        <w:gridCol w:w="1740"/>
        <w:gridCol w:w="1740"/>
        <w:gridCol w:w="1740"/>
        <w:gridCol w:w="1655"/>
        <w:gridCol w:w="1690"/>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 included studies</w:t>
            </w:r>
          </w:p>
        </w:tc>
      </w:tr>
      <w:tr w:rsidR="00D65A05" w:rsidRPr="006D6A3E"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D65A05" w:rsidRDefault="00D65A05">
            <w:pPr>
              <w:pStyle w:val="NormalWeb"/>
              <w:spacing w:before="0" w:beforeAutospacing="0" w:after="0" w:afterAutospacing="0" w:line="256" w:lineRule="auto"/>
              <w:jc w:val="center"/>
              <w:rPr>
                <w:rFonts w:ascii="Calibri" w:hAnsi="Calibri" w:cs="Calibri"/>
                <w:b/>
                <w:bCs/>
                <w:color w:val="000000"/>
                <w:sz w:val="16"/>
                <w:szCs w:val="16"/>
                <w:lang w:val="en-US"/>
              </w:rPr>
            </w:pPr>
            <w:r w:rsidRPr="00D65A05">
              <w:rPr>
                <w:rFonts w:ascii="Calibri" w:hAnsi="Calibri" w:cs="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Don't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Don't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bl>
    <w:p w14:paraId="4D25C075" w14:textId="77777777" w:rsidR="00D65A05" w:rsidRDefault="00D65A05" w:rsidP="00D65A05">
      <w:pPr>
        <w:divId w:val="1023363082"/>
        <w:rPr>
          <w:rFonts w:ascii="Calibri" w:eastAsia="Times New Roman" w:hAnsi="Calibri" w:cs="Calibri"/>
          <w:color w:val="000000"/>
          <w:sz w:val="16"/>
          <w:szCs w:val="16"/>
          <w:lang w:val="en"/>
        </w:rPr>
      </w:pPr>
    </w:p>
    <w:p w14:paraId="567F218B" w14:textId="77777777"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0526C3" w:rsidRPr="006D6A3E" w14:paraId="394DC68C" w14:textId="77777777">
        <w:trPr>
          <w:divId w:val="364672090"/>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636BF6A"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D5A3141" w14:textId="77777777" w:rsidR="000526C3" w:rsidRPr="00CD2D3A" w:rsidRDefault="00045AFF">
            <w:pPr>
              <w:pStyle w:val="NormalWeb"/>
              <w:spacing w:before="0" w:beforeAutospacing="0" w:after="0" w:afterAutospacing="0"/>
              <w:jc w:val="center"/>
              <w:rPr>
                <w:rFonts w:ascii="Calibri" w:hAnsi="Calibri" w:cs="Calibri"/>
                <w:b/>
                <w:bCs/>
                <w:color w:val="FFFFFF"/>
                <w:sz w:val="16"/>
                <w:szCs w:val="16"/>
                <w:lang w:val="en-US"/>
              </w:rPr>
            </w:pPr>
            <w:r w:rsidRPr="00CD2D3A">
              <w:rPr>
                <w:rFonts w:ascii="Calibri" w:hAnsi="Calibri" w:cs="Calibri"/>
                <w:b/>
                <w:bCs/>
                <w:color w:val="FFFFFF"/>
                <w:sz w:val="16"/>
                <w:szCs w:val="16"/>
                <w:lang w:val="en-US"/>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8206C18"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EDFBA9F"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80740CD" w14:textId="77777777" w:rsidR="000526C3" w:rsidRPr="00CD2D3A" w:rsidRDefault="00045AFF">
            <w:pPr>
              <w:pStyle w:val="NormalWeb"/>
              <w:spacing w:before="0" w:beforeAutospacing="0" w:after="0" w:afterAutospacing="0"/>
              <w:jc w:val="center"/>
              <w:rPr>
                <w:rFonts w:ascii="Calibri" w:hAnsi="Calibri" w:cs="Calibri"/>
                <w:color w:val="000000"/>
                <w:sz w:val="16"/>
                <w:szCs w:val="16"/>
                <w:lang w:val="en-US"/>
              </w:rPr>
            </w:pPr>
            <w:r w:rsidRPr="00CD2D3A">
              <w:rPr>
                <w:rFonts w:ascii="Calibri" w:hAnsi="Calibri" w:cs="Calibri"/>
                <w:color w:val="000000"/>
                <w:sz w:val="16"/>
                <w:szCs w:val="16"/>
                <w:lang w:val="en-US"/>
              </w:rPr>
              <w:t>Strong recommendation for the intervention</w:t>
            </w:r>
          </w:p>
        </w:tc>
      </w:tr>
      <w:tr w:rsidR="000526C3" w14:paraId="0723B9D0" w14:textId="77777777">
        <w:trPr>
          <w:divId w:val="364672090"/>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7C6CD09" w14:textId="77777777" w:rsidR="000526C3" w:rsidRDefault="00045AF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20B4CCDB" w14:textId="77777777" w:rsidR="000526C3" w:rsidRDefault="00045AFF">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323A754" w14:textId="77777777" w:rsidR="000526C3" w:rsidRDefault="00045AF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9D71D15" w14:textId="77777777" w:rsidR="000526C3" w:rsidRDefault="00045AFF">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Pr>
                <w:color w:val="000000"/>
              </w:rPr>
              <w:t xml:space="preserve">○ </w:t>
            </w:r>
          </w:p>
        </w:tc>
      </w:tr>
    </w:tbl>
    <w:p w14:paraId="009C110C" w14:textId="77777777" w:rsidR="000526C3" w:rsidRDefault="000526C3">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divId w:val="173952287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4132F34D" w14:textId="77777777">
        <w:trPr>
          <w:divId w:val="1858082648"/>
        </w:trPr>
        <w:tc>
          <w:tcPr>
            <w:tcW w:w="0" w:type="auto"/>
            <w:shd w:val="clear" w:color="auto" w:fill="2E74B5"/>
            <w:tcMar>
              <w:top w:w="75" w:type="dxa"/>
              <w:left w:w="75" w:type="dxa"/>
              <w:bottom w:w="75" w:type="dxa"/>
              <w:right w:w="75" w:type="dxa"/>
            </w:tcMar>
            <w:hideMark/>
          </w:tcPr>
          <w:p w14:paraId="75A11F19"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0526C3" w:rsidRPr="006D6A3E" w14:paraId="1EC8105E" w14:textId="77777777">
        <w:trPr>
          <w:divId w:val="1858082648"/>
          <w:trHeight w:val="1080"/>
        </w:trPr>
        <w:tc>
          <w:tcPr>
            <w:tcW w:w="0" w:type="auto"/>
            <w:tcMar>
              <w:top w:w="75" w:type="dxa"/>
              <w:left w:w="75" w:type="dxa"/>
              <w:bottom w:w="75" w:type="dxa"/>
              <w:right w:w="75" w:type="dxa"/>
            </w:tcMar>
            <w:hideMark/>
          </w:tcPr>
          <w:p w14:paraId="2EF40EEE" w14:textId="7D89E973" w:rsidR="00A635CE" w:rsidRPr="00A635CE" w:rsidRDefault="00A635CE" w:rsidP="00A635CE">
            <w:pPr>
              <w:divId w:val="1184586289"/>
              <w:rPr>
                <w:rFonts w:ascii="Calibri" w:eastAsia="Times New Roman" w:hAnsi="Calibri" w:cs="Calibri"/>
                <w:b/>
                <w:bCs/>
                <w:sz w:val="16"/>
                <w:szCs w:val="16"/>
                <w:lang w:val="en-US"/>
              </w:rPr>
            </w:pPr>
            <w:r w:rsidRPr="00A635CE">
              <w:rPr>
                <w:rFonts w:ascii="Calibri" w:eastAsia="Times New Roman" w:hAnsi="Calibri" w:cs="Calibri"/>
                <w:b/>
                <w:bCs/>
                <w:sz w:val="16"/>
                <w:szCs w:val="16"/>
                <w:lang w:val="en-US"/>
              </w:rPr>
              <w:t>We suggest IV access as compared to IO access as the first attempt for drug administration during adult cardiac arrest (weak recommendation, very low</w:t>
            </w:r>
            <w:r w:rsidR="00FB1E4A">
              <w:rPr>
                <w:rFonts w:ascii="Calibri" w:eastAsia="Times New Roman" w:hAnsi="Calibri" w:cs="Calibri"/>
                <w:b/>
                <w:bCs/>
                <w:sz w:val="16"/>
                <w:szCs w:val="16"/>
                <w:lang w:val="en-US"/>
              </w:rPr>
              <w:t>-certainty</w:t>
            </w:r>
            <w:r w:rsidRPr="00A635CE">
              <w:rPr>
                <w:rFonts w:ascii="Calibri" w:eastAsia="Times New Roman" w:hAnsi="Calibri" w:cs="Calibri"/>
                <w:b/>
                <w:bCs/>
                <w:sz w:val="16"/>
                <w:szCs w:val="16"/>
                <w:lang w:val="en-US"/>
              </w:rPr>
              <w:t xml:space="preserve"> evidence).</w:t>
            </w:r>
          </w:p>
          <w:p w14:paraId="2A0862EE" w14:textId="0A62592C" w:rsidR="000526C3" w:rsidRPr="00CD2D3A" w:rsidRDefault="00A635CE">
            <w:pPr>
              <w:divId w:val="1184586289"/>
              <w:rPr>
                <w:rFonts w:ascii="Calibri" w:eastAsia="Times New Roman" w:hAnsi="Calibri" w:cs="Calibri"/>
                <w:sz w:val="16"/>
                <w:szCs w:val="16"/>
                <w:lang w:val="en-US"/>
              </w:rPr>
            </w:pPr>
            <w:r w:rsidRPr="00A635CE">
              <w:rPr>
                <w:rFonts w:ascii="Calibri" w:eastAsia="Times New Roman" w:hAnsi="Calibri" w:cs="Calibri"/>
                <w:b/>
                <w:bCs/>
                <w:sz w:val="16"/>
                <w:szCs w:val="16"/>
                <w:lang w:val="en-US"/>
              </w:rPr>
              <w:t xml:space="preserve">If attempts </w:t>
            </w:r>
            <w:r w:rsidR="00C05089">
              <w:rPr>
                <w:rFonts w:ascii="Calibri" w:eastAsia="Times New Roman" w:hAnsi="Calibri" w:cs="Calibri"/>
                <w:b/>
                <w:bCs/>
                <w:sz w:val="16"/>
                <w:szCs w:val="16"/>
                <w:lang w:val="en-US"/>
              </w:rPr>
              <w:t>at</w:t>
            </w:r>
            <w:r w:rsidR="00C05089" w:rsidRPr="00A635CE">
              <w:rPr>
                <w:rFonts w:ascii="Calibri" w:eastAsia="Times New Roman" w:hAnsi="Calibri" w:cs="Calibri"/>
                <w:b/>
                <w:bCs/>
                <w:sz w:val="16"/>
                <w:szCs w:val="16"/>
                <w:lang w:val="en-US"/>
              </w:rPr>
              <w:t xml:space="preserve"> </w:t>
            </w:r>
            <w:r w:rsidRPr="00A635CE">
              <w:rPr>
                <w:rFonts w:ascii="Calibri" w:eastAsia="Times New Roman" w:hAnsi="Calibri" w:cs="Calibri"/>
                <w:b/>
                <w:bCs/>
                <w:sz w:val="16"/>
                <w:szCs w:val="16"/>
                <w:lang w:val="en-US"/>
              </w:rPr>
              <w:t>IV access are unsuccessful</w:t>
            </w:r>
            <w:r w:rsidR="00C05089">
              <w:rPr>
                <w:rFonts w:ascii="Calibri" w:eastAsia="Times New Roman" w:hAnsi="Calibri" w:cs="Calibri"/>
                <w:b/>
                <w:bCs/>
                <w:sz w:val="16"/>
                <w:szCs w:val="16"/>
                <w:lang w:val="en-US"/>
              </w:rPr>
              <w:t xml:space="preserve"> or IV access is not feasible</w:t>
            </w:r>
            <w:r w:rsidRPr="00A635CE">
              <w:rPr>
                <w:rFonts w:ascii="Calibri" w:eastAsia="Times New Roman" w:hAnsi="Calibri" w:cs="Calibri"/>
                <w:b/>
                <w:bCs/>
                <w:sz w:val="16"/>
                <w:szCs w:val="16"/>
                <w:lang w:val="en-US"/>
              </w:rPr>
              <w:t xml:space="preserve">, </w:t>
            </w:r>
            <w:r w:rsidR="00FB1E4A">
              <w:rPr>
                <w:rFonts w:ascii="Calibri" w:eastAsia="Times New Roman" w:hAnsi="Calibri" w:cs="Calibri"/>
                <w:b/>
                <w:bCs/>
                <w:sz w:val="16"/>
                <w:szCs w:val="16"/>
                <w:lang w:val="en-US"/>
              </w:rPr>
              <w:t>we suggest</w:t>
            </w:r>
            <w:r w:rsidRPr="00A635CE">
              <w:rPr>
                <w:rFonts w:ascii="Calibri" w:eastAsia="Times New Roman" w:hAnsi="Calibri" w:cs="Calibri"/>
                <w:b/>
                <w:bCs/>
                <w:sz w:val="16"/>
                <w:szCs w:val="16"/>
                <w:lang w:val="en-US"/>
              </w:rPr>
              <w:t xml:space="preserve"> IO access as a route for drug administration during adult cardiac arrest (weak recommendation, very low</w:t>
            </w:r>
            <w:r w:rsidR="00FB1E4A">
              <w:rPr>
                <w:rFonts w:ascii="Calibri" w:eastAsia="Times New Roman" w:hAnsi="Calibri" w:cs="Calibri"/>
                <w:b/>
                <w:bCs/>
                <w:sz w:val="16"/>
                <w:szCs w:val="16"/>
                <w:lang w:val="en-US"/>
              </w:rPr>
              <w:t>-certainty</w:t>
            </w:r>
            <w:r w:rsidRPr="00A635CE">
              <w:rPr>
                <w:rFonts w:ascii="Calibri" w:eastAsia="Times New Roman" w:hAnsi="Calibri" w:cs="Calibri"/>
                <w:b/>
                <w:bCs/>
                <w:sz w:val="16"/>
                <w:szCs w:val="16"/>
                <w:lang w:val="en-US"/>
              </w:rPr>
              <w:t xml:space="preserve"> evidence).</w:t>
            </w:r>
          </w:p>
        </w:tc>
      </w:tr>
      <w:tr w:rsidR="000526C3" w:rsidRPr="006D6A3E" w14:paraId="3C9D40AB" w14:textId="77777777">
        <w:trPr>
          <w:divId w:val="1858082648"/>
        </w:trPr>
        <w:tc>
          <w:tcPr>
            <w:tcW w:w="0" w:type="auto"/>
            <w:tcMar>
              <w:top w:w="0" w:type="dxa"/>
              <w:left w:w="0" w:type="dxa"/>
              <w:bottom w:w="0" w:type="dxa"/>
              <w:right w:w="0" w:type="dxa"/>
            </w:tcMar>
            <w:hideMark/>
          </w:tcPr>
          <w:p w14:paraId="7C2899B2" w14:textId="77777777" w:rsidR="000526C3" w:rsidRPr="00CD2D3A" w:rsidRDefault="000526C3">
            <w:pPr>
              <w:rPr>
                <w:rFonts w:ascii="Calibri" w:eastAsia="Times New Roman" w:hAnsi="Calibri" w:cs="Calibri"/>
                <w:sz w:val="16"/>
                <w:szCs w:val="16"/>
                <w:lang w:val="en-US"/>
              </w:rPr>
            </w:pPr>
          </w:p>
        </w:tc>
      </w:tr>
    </w:tbl>
    <w:p w14:paraId="1D2C6BCD" w14:textId="77777777" w:rsidR="00CD2D3A" w:rsidRDefault="00CD2D3A">
      <w:pPr>
        <w:divId w:val="1858082648"/>
        <w:rPr>
          <w:rFonts w:ascii="Calibri" w:eastAsia="Times New Roman" w:hAnsi="Calibri" w:cs="Calibri"/>
          <w:vanish/>
          <w:color w:val="000000"/>
          <w:sz w:val="16"/>
          <w:szCs w:val="16"/>
          <w:lang w:val="en"/>
        </w:rPr>
      </w:pPr>
    </w:p>
    <w:p w14:paraId="4C305BBB" w14:textId="77777777" w:rsidR="00CD2D3A" w:rsidRDefault="00CD2D3A">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76FE742C" w14:textId="77777777">
        <w:trPr>
          <w:divId w:val="1858082648"/>
        </w:trPr>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526C3" w:rsidRPr="006D6A3E" w14:paraId="1169A6AC" w14:textId="77777777">
        <w:trPr>
          <w:divId w:val="1858082648"/>
          <w:trHeight w:val="1080"/>
        </w:trPr>
        <w:tc>
          <w:tcPr>
            <w:tcW w:w="0" w:type="auto"/>
            <w:tcMar>
              <w:top w:w="75" w:type="dxa"/>
              <w:left w:w="75" w:type="dxa"/>
              <w:bottom w:w="75" w:type="dxa"/>
              <w:right w:w="75" w:type="dxa"/>
            </w:tcMar>
            <w:hideMark/>
          </w:tcPr>
          <w:p w14:paraId="2E8896B0" w14:textId="236F4730" w:rsidR="000526C3" w:rsidRPr="00CD2D3A" w:rsidRDefault="00CD2D3A">
            <w:pPr>
              <w:rPr>
                <w:rFonts w:ascii="Calibri" w:eastAsia="Times New Roman" w:hAnsi="Calibri" w:cs="Calibri"/>
                <w:sz w:val="16"/>
                <w:szCs w:val="16"/>
                <w:lang w:val="en-US"/>
              </w:rPr>
            </w:pPr>
            <w:r w:rsidRPr="00CD2D3A">
              <w:rPr>
                <w:rFonts w:ascii="Calibri" w:eastAsia="Times New Roman" w:hAnsi="Calibri" w:cs="Calibri"/>
                <w:sz w:val="16"/>
                <w:szCs w:val="16"/>
                <w:lang w:val="en-US"/>
              </w:rPr>
              <w:t>Although</w:t>
            </w:r>
            <w:r w:rsidR="00045AFF" w:rsidRPr="00CD2D3A">
              <w:rPr>
                <w:rFonts w:ascii="Calibri" w:eastAsia="Times New Roman" w:hAnsi="Calibri" w:cs="Calibri"/>
                <w:sz w:val="16"/>
                <w:szCs w:val="16"/>
                <w:lang w:val="en-US"/>
              </w:rPr>
              <w:t xml:space="preserve"> the overall certainty in the evidence is very low, the current evidence suggests that outcomes might be better when drugs are administered </w:t>
            </w:r>
            <w:r w:rsidR="003A7788">
              <w:rPr>
                <w:rFonts w:ascii="Calibri" w:eastAsia="Times New Roman" w:hAnsi="Calibri" w:cs="Calibri"/>
                <w:sz w:val="16"/>
                <w:szCs w:val="16"/>
                <w:lang w:val="en-US"/>
              </w:rPr>
              <w:t>intravenously</w:t>
            </w:r>
            <w:r w:rsidR="00045AFF" w:rsidRPr="00CD2D3A">
              <w:rPr>
                <w:rFonts w:ascii="Calibri" w:eastAsia="Times New Roman" w:hAnsi="Calibri" w:cs="Calibri"/>
                <w:sz w:val="16"/>
                <w:szCs w:val="16"/>
                <w:lang w:val="en-US"/>
              </w:rPr>
              <w:t xml:space="preserve"> as compared to </w:t>
            </w:r>
            <w:r w:rsidR="003A7788">
              <w:rPr>
                <w:rFonts w:ascii="Calibri" w:eastAsia="Times New Roman" w:hAnsi="Calibri" w:cs="Calibri"/>
                <w:sz w:val="16"/>
                <w:szCs w:val="16"/>
                <w:lang w:val="en-US"/>
              </w:rPr>
              <w:t>intraosseously</w:t>
            </w:r>
            <w:r w:rsidR="00045AFF" w:rsidRPr="00CD2D3A">
              <w:rPr>
                <w:rFonts w:ascii="Calibri" w:eastAsia="Times New Roman" w:hAnsi="Calibri" w:cs="Calibri"/>
                <w:sz w:val="16"/>
                <w:szCs w:val="16"/>
                <w:lang w:val="en-US"/>
              </w:rPr>
              <w:t xml:space="preserve">. </w:t>
            </w:r>
          </w:p>
          <w:p w14:paraId="4909A0C6" w14:textId="2CF15FD4" w:rsidR="000526C3" w:rsidRPr="00CD2D3A" w:rsidRDefault="00045AFF" w:rsidP="00A1511D">
            <w:pPr>
              <w:divId w:val="410663818"/>
              <w:rPr>
                <w:rFonts w:ascii="Calibri" w:eastAsia="Times New Roman" w:hAnsi="Calibri" w:cs="Calibri"/>
                <w:sz w:val="16"/>
                <w:szCs w:val="16"/>
                <w:lang w:val="en-US"/>
              </w:rPr>
            </w:pPr>
            <w:r w:rsidRPr="00CD2D3A">
              <w:rPr>
                <w:rFonts w:ascii="Calibri" w:eastAsia="Times New Roman" w:hAnsi="Calibri" w:cs="Calibri"/>
                <w:sz w:val="16"/>
                <w:szCs w:val="16"/>
                <w:lang w:val="en-US"/>
              </w:rPr>
              <w:t>Current guidelines suggest that IO access should only be used if IV access is "difficult or impossible"</w:t>
            </w:r>
            <w:r w:rsidR="00BB6A34">
              <w:rPr>
                <w:rFonts w:ascii="Calibri" w:eastAsia="Times New Roman" w:hAnsi="Calibri" w:cs="Calibri"/>
                <w:sz w:val="16"/>
                <w:szCs w:val="16"/>
                <w:lang w:val="en-US"/>
              </w:rPr>
              <w:t xml:space="preserve"> (Soar 2015 110</w:t>
            </w:r>
            <w:r w:rsidR="00A1511D">
              <w:rPr>
                <w:rFonts w:ascii="Calibri" w:eastAsia="Times New Roman" w:hAnsi="Calibri" w:cs="Calibri"/>
                <w:sz w:val="16"/>
                <w:szCs w:val="16"/>
                <w:lang w:val="en-US"/>
              </w:rPr>
              <w:t xml:space="preserve">) </w:t>
            </w:r>
            <w:r w:rsidRPr="00CD2D3A">
              <w:rPr>
                <w:rFonts w:ascii="Calibri" w:eastAsia="Times New Roman" w:hAnsi="Calibri" w:cs="Calibri"/>
                <w:sz w:val="16"/>
                <w:szCs w:val="16"/>
                <w:lang w:val="en-US"/>
              </w:rPr>
              <w:t>or "not readily available"</w:t>
            </w:r>
            <w:r w:rsidR="00654FF5">
              <w:rPr>
                <w:rFonts w:ascii="Calibri" w:eastAsia="Times New Roman" w:hAnsi="Calibri" w:cs="Calibri"/>
                <w:sz w:val="16"/>
                <w:szCs w:val="16"/>
                <w:lang w:val="en-US"/>
              </w:rPr>
              <w:t xml:space="preserve"> (Link</w:t>
            </w:r>
            <w:r w:rsidR="00492148">
              <w:rPr>
                <w:rFonts w:ascii="Calibri" w:eastAsia="Times New Roman" w:hAnsi="Calibri" w:cs="Calibri"/>
                <w:sz w:val="16"/>
                <w:szCs w:val="16"/>
                <w:lang w:val="en-US"/>
              </w:rPr>
              <w:t xml:space="preserve"> 2015 S459</w:t>
            </w:r>
            <w:r w:rsidR="00654FF5">
              <w:rPr>
                <w:rFonts w:ascii="Calibri" w:eastAsia="Times New Roman" w:hAnsi="Calibri" w:cs="Calibri"/>
                <w:sz w:val="16"/>
                <w:szCs w:val="16"/>
                <w:lang w:val="en-US"/>
              </w:rPr>
              <w:t>).</w:t>
            </w:r>
            <w:r w:rsidRPr="00CD2D3A">
              <w:rPr>
                <w:rFonts w:ascii="Calibri" w:eastAsia="Times New Roman" w:hAnsi="Calibri" w:cs="Calibri"/>
                <w:sz w:val="16"/>
                <w:szCs w:val="16"/>
                <w:lang w:val="en-US"/>
              </w:rPr>
              <w:t xml:space="preserve"> There is no new evidence </w:t>
            </w:r>
            <w:r w:rsidR="003A7788">
              <w:rPr>
                <w:rFonts w:ascii="Calibri" w:eastAsia="Times New Roman" w:hAnsi="Calibri" w:cs="Calibri"/>
                <w:sz w:val="16"/>
                <w:szCs w:val="16"/>
                <w:lang w:val="en-US"/>
              </w:rPr>
              <w:t>to</w:t>
            </w:r>
            <w:r w:rsidR="003A7788" w:rsidRPr="00CD2D3A">
              <w:rPr>
                <w:rFonts w:ascii="Calibri" w:eastAsia="Times New Roman" w:hAnsi="Calibri" w:cs="Calibri"/>
                <w:sz w:val="16"/>
                <w:szCs w:val="16"/>
                <w:lang w:val="en-US"/>
              </w:rPr>
              <w:t xml:space="preserve"> </w:t>
            </w:r>
            <w:r w:rsidRPr="00CD2D3A">
              <w:rPr>
                <w:rFonts w:ascii="Calibri" w:eastAsia="Times New Roman" w:hAnsi="Calibri" w:cs="Calibri"/>
                <w:sz w:val="16"/>
                <w:szCs w:val="16"/>
                <w:lang w:val="en-US"/>
              </w:rPr>
              <w:t xml:space="preserve">support a change to these guidelines. </w:t>
            </w:r>
          </w:p>
        </w:tc>
      </w:tr>
    </w:tbl>
    <w:p w14:paraId="1D2BC6B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3BB222E2" w14:textId="77777777">
        <w:trPr>
          <w:divId w:val="1858082648"/>
        </w:trPr>
        <w:tc>
          <w:tcPr>
            <w:tcW w:w="0" w:type="auto"/>
            <w:shd w:val="clear" w:color="auto" w:fill="2E74B5"/>
            <w:tcMar>
              <w:top w:w="75" w:type="dxa"/>
              <w:left w:w="75" w:type="dxa"/>
              <w:bottom w:w="75" w:type="dxa"/>
              <w:right w:w="75" w:type="dxa"/>
            </w:tcMar>
            <w:hideMark/>
          </w:tcPr>
          <w:p w14:paraId="33721C3D"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0526C3" w:rsidRPr="006D6A3E" w14:paraId="55FEACA4" w14:textId="77777777">
        <w:trPr>
          <w:divId w:val="1858082648"/>
          <w:trHeight w:val="1080"/>
        </w:trPr>
        <w:tc>
          <w:tcPr>
            <w:tcW w:w="0" w:type="auto"/>
            <w:tcMar>
              <w:top w:w="75" w:type="dxa"/>
              <w:left w:w="75" w:type="dxa"/>
              <w:bottom w:w="75" w:type="dxa"/>
              <w:right w:w="75" w:type="dxa"/>
            </w:tcMar>
            <w:hideMark/>
          </w:tcPr>
          <w:p w14:paraId="27983B43" w14:textId="5D9A55A9" w:rsidR="000526C3" w:rsidRPr="00CD2D3A" w:rsidRDefault="00045AFF">
            <w:pPr>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The included studies did not allow for meaningful analyses of specific subgroups. </w:t>
            </w:r>
            <w:r w:rsidR="00E148B2">
              <w:rPr>
                <w:rFonts w:ascii="Calibri" w:eastAsia="Times New Roman" w:hAnsi="Calibri" w:cs="Calibri"/>
                <w:sz w:val="16"/>
                <w:szCs w:val="16"/>
                <w:lang w:val="en-US"/>
              </w:rPr>
              <w:t>T</w:t>
            </w:r>
            <w:r w:rsidRPr="00CD2D3A">
              <w:rPr>
                <w:rFonts w:ascii="Calibri" w:eastAsia="Times New Roman" w:hAnsi="Calibri" w:cs="Calibri"/>
                <w:sz w:val="16"/>
                <w:szCs w:val="16"/>
                <w:lang w:val="en-US"/>
              </w:rPr>
              <w:t xml:space="preserve">he </w:t>
            </w:r>
            <w:r w:rsidR="00383139">
              <w:rPr>
                <w:rFonts w:ascii="Calibri" w:eastAsia="Times New Roman" w:hAnsi="Calibri" w:cs="Calibri"/>
                <w:sz w:val="16"/>
                <w:szCs w:val="16"/>
                <w:lang w:val="en-US"/>
              </w:rPr>
              <w:t>IO site</w:t>
            </w:r>
            <w:r w:rsidRPr="00CD2D3A">
              <w:rPr>
                <w:rFonts w:ascii="Calibri" w:eastAsia="Times New Roman" w:hAnsi="Calibri" w:cs="Calibri"/>
                <w:sz w:val="16"/>
                <w:szCs w:val="16"/>
                <w:lang w:val="en-US"/>
              </w:rPr>
              <w:t xml:space="preserve"> was </w:t>
            </w:r>
            <w:r w:rsidR="00E148B2">
              <w:rPr>
                <w:rFonts w:ascii="Calibri" w:eastAsia="Times New Roman" w:hAnsi="Calibri" w:cs="Calibri"/>
                <w:sz w:val="16"/>
                <w:szCs w:val="16"/>
                <w:lang w:val="en-US"/>
              </w:rPr>
              <w:t xml:space="preserve">often </w:t>
            </w:r>
            <w:r w:rsidRPr="00CD2D3A">
              <w:rPr>
                <w:rFonts w:ascii="Calibri" w:eastAsia="Times New Roman" w:hAnsi="Calibri" w:cs="Calibri"/>
                <w:sz w:val="16"/>
                <w:szCs w:val="16"/>
                <w:lang w:val="en-US"/>
              </w:rPr>
              <w:t>not documented or primarily tibial. As such, no statements can be made about difference between tibia</w:t>
            </w:r>
            <w:r w:rsidR="00E148B2">
              <w:rPr>
                <w:rFonts w:ascii="Calibri" w:eastAsia="Times New Roman" w:hAnsi="Calibri" w:cs="Calibri"/>
                <w:sz w:val="16"/>
                <w:szCs w:val="16"/>
                <w:lang w:val="en-US"/>
              </w:rPr>
              <w:t>l</w:t>
            </w:r>
            <w:r w:rsidRPr="00CD2D3A">
              <w:rPr>
                <w:rFonts w:ascii="Calibri" w:eastAsia="Times New Roman" w:hAnsi="Calibri" w:cs="Calibri"/>
                <w:sz w:val="16"/>
                <w:szCs w:val="16"/>
                <w:lang w:val="en-US"/>
              </w:rPr>
              <w:t xml:space="preserve"> and humeral (or other) IO</w:t>
            </w:r>
            <w:r w:rsidR="003A7788">
              <w:rPr>
                <w:rFonts w:ascii="Calibri" w:eastAsia="Times New Roman" w:hAnsi="Calibri" w:cs="Calibri"/>
                <w:sz w:val="16"/>
                <w:szCs w:val="16"/>
                <w:lang w:val="en-US"/>
              </w:rPr>
              <w:t xml:space="preserve"> access.</w:t>
            </w:r>
          </w:p>
          <w:p w14:paraId="16264A57" w14:textId="5BF9CDB6" w:rsidR="000526C3" w:rsidRPr="00CD2D3A" w:rsidRDefault="00045AFF">
            <w:pPr>
              <w:divId w:val="603804905"/>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All studies were conducted in out-of-hospital cardiac arrest. Although most in-hospital cardiac arrest patients likely have pre-existing IV access, this is not universally the case. Although there might be differences in provider skills and patient characteristics between out-of-hospital </w:t>
            </w:r>
            <w:r w:rsidR="003A7788">
              <w:rPr>
                <w:rFonts w:ascii="Calibri" w:eastAsia="Times New Roman" w:hAnsi="Calibri" w:cs="Calibri"/>
                <w:sz w:val="16"/>
                <w:szCs w:val="16"/>
                <w:lang w:val="en-US"/>
              </w:rPr>
              <w:t xml:space="preserve">and </w:t>
            </w:r>
            <w:r w:rsidR="003A7788" w:rsidRPr="00CD2D3A">
              <w:rPr>
                <w:rFonts w:ascii="Calibri" w:eastAsia="Times New Roman" w:hAnsi="Calibri" w:cs="Calibri"/>
                <w:sz w:val="16"/>
                <w:szCs w:val="16"/>
                <w:lang w:val="en-US"/>
              </w:rPr>
              <w:t xml:space="preserve">in-hospital </w:t>
            </w:r>
            <w:r w:rsidRPr="00CD2D3A">
              <w:rPr>
                <w:rFonts w:ascii="Calibri" w:eastAsia="Times New Roman" w:hAnsi="Calibri" w:cs="Calibri"/>
                <w:sz w:val="16"/>
                <w:szCs w:val="16"/>
                <w:lang w:val="en-US"/>
              </w:rPr>
              <w:t xml:space="preserve">cardiac arrest, we consider it unlikely that these would lead to substantial effect modification. As such, the above recommendations apply to both out-of-hospital </w:t>
            </w:r>
            <w:r w:rsidR="00383139">
              <w:rPr>
                <w:rFonts w:ascii="Calibri" w:eastAsia="Times New Roman" w:hAnsi="Calibri" w:cs="Calibri"/>
                <w:sz w:val="16"/>
                <w:szCs w:val="16"/>
                <w:lang w:val="en-US"/>
              </w:rPr>
              <w:t xml:space="preserve">and in-hospital </w:t>
            </w:r>
            <w:r w:rsidRPr="00CD2D3A">
              <w:rPr>
                <w:rFonts w:ascii="Calibri" w:eastAsia="Times New Roman" w:hAnsi="Calibri" w:cs="Calibri"/>
                <w:sz w:val="16"/>
                <w:szCs w:val="16"/>
                <w:lang w:val="en-US"/>
              </w:rPr>
              <w:t xml:space="preserve">cardiac arrest. </w:t>
            </w:r>
          </w:p>
        </w:tc>
      </w:tr>
    </w:tbl>
    <w:p w14:paraId="263202E5"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FB273B6" w14:textId="77777777">
        <w:trPr>
          <w:divId w:val="1858082648"/>
        </w:trPr>
        <w:tc>
          <w:tcPr>
            <w:tcW w:w="0" w:type="auto"/>
            <w:shd w:val="clear" w:color="auto" w:fill="2E74B5"/>
            <w:tcMar>
              <w:top w:w="75" w:type="dxa"/>
              <w:left w:w="75" w:type="dxa"/>
              <w:bottom w:w="75" w:type="dxa"/>
              <w:right w:w="75" w:type="dxa"/>
            </w:tcMar>
            <w:hideMark/>
          </w:tcPr>
          <w:p w14:paraId="67A5D392"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0526C3" w:rsidRPr="006D6A3E" w14:paraId="1C7BF584" w14:textId="77777777" w:rsidTr="00742C82">
        <w:trPr>
          <w:divId w:val="1858082648"/>
          <w:trHeight w:val="449"/>
        </w:trPr>
        <w:tc>
          <w:tcPr>
            <w:tcW w:w="0" w:type="auto"/>
            <w:tcMar>
              <w:top w:w="75" w:type="dxa"/>
              <w:left w:w="75" w:type="dxa"/>
              <w:bottom w:w="75" w:type="dxa"/>
              <w:right w:w="75" w:type="dxa"/>
            </w:tcMar>
            <w:hideMark/>
          </w:tcPr>
          <w:p w14:paraId="5C0DE7A1" w14:textId="33FD050A" w:rsidR="000526C3" w:rsidRPr="00CD2D3A" w:rsidRDefault="00045AFF">
            <w:pPr>
              <w:divId w:val="1737628567"/>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Since both IO and IV access </w:t>
            </w:r>
            <w:r w:rsidR="00FB1E4A">
              <w:rPr>
                <w:rFonts w:ascii="Calibri" w:eastAsia="Times New Roman" w:hAnsi="Calibri" w:cs="Calibri"/>
                <w:sz w:val="16"/>
                <w:szCs w:val="16"/>
                <w:lang w:val="en-US"/>
              </w:rPr>
              <w:t>are</w:t>
            </w:r>
            <w:r w:rsidRPr="00CD2D3A">
              <w:rPr>
                <w:rFonts w:ascii="Calibri" w:eastAsia="Times New Roman" w:hAnsi="Calibri" w:cs="Calibri"/>
                <w:sz w:val="16"/>
                <w:szCs w:val="16"/>
                <w:lang w:val="en-US"/>
              </w:rPr>
              <w:t xml:space="preserve"> currently used in clinical practice, we see no substantial concerns related to implementation. </w:t>
            </w:r>
          </w:p>
        </w:tc>
      </w:tr>
    </w:tbl>
    <w:p w14:paraId="5A867D4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6C620209" w14:textId="77777777">
        <w:trPr>
          <w:divId w:val="1858082648"/>
        </w:trPr>
        <w:tc>
          <w:tcPr>
            <w:tcW w:w="0" w:type="auto"/>
            <w:shd w:val="clear" w:color="auto" w:fill="2E74B5"/>
            <w:tcMar>
              <w:top w:w="75" w:type="dxa"/>
              <w:left w:w="75" w:type="dxa"/>
              <w:bottom w:w="75" w:type="dxa"/>
              <w:right w:w="75" w:type="dxa"/>
            </w:tcMar>
            <w:hideMark/>
          </w:tcPr>
          <w:p w14:paraId="747FF835"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0526C3" w:rsidRPr="006D6A3E" w14:paraId="01D967A4" w14:textId="77777777" w:rsidTr="00742C82">
        <w:trPr>
          <w:divId w:val="1858082648"/>
          <w:trHeight w:val="407"/>
        </w:trPr>
        <w:tc>
          <w:tcPr>
            <w:tcW w:w="0" w:type="auto"/>
            <w:tcMar>
              <w:top w:w="75" w:type="dxa"/>
              <w:left w:w="75" w:type="dxa"/>
              <w:bottom w:w="75" w:type="dxa"/>
              <w:right w:w="75" w:type="dxa"/>
            </w:tcMar>
            <w:hideMark/>
          </w:tcPr>
          <w:p w14:paraId="06F50BFC" w14:textId="32AE72EE" w:rsidR="000526C3" w:rsidRPr="00CD2D3A" w:rsidRDefault="00045AFF" w:rsidP="004C2FC2">
            <w:pPr>
              <w:divId w:val="1049572930"/>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Since both IO and IV access </w:t>
            </w:r>
            <w:r w:rsidR="00FB1E4A">
              <w:rPr>
                <w:rFonts w:ascii="Calibri" w:eastAsia="Times New Roman" w:hAnsi="Calibri" w:cs="Calibri"/>
                <w:sz w:val="16"/>
                <w:szCs w:val="16"/>
                <w:lang w:val="en-US"/>
              </w:rPr>
              <w:t>are</w:t>
            </w:r>
            <w:r w:rsidRPr="00CD2D3A">
              <w:rPr>
                <w:rFonts w:ascii="Calibri" w:eastAsia="Times New Roman" w:hAnsi="Calibri" w:cs="Calibri"/>
                <w:sz w:val="16"/>
                <w:szCs w:val="16"/>
                <w:lang w:val="en-US"/>
              </w:rPr>
              <w:t xml:space="preserve"> currently used in clinical practice, we see no substantial concerns related to monitoring and </w:t>
            </w:r>
            <w:r w:rsidR="004C2FC2">
              <w:rPr>
                <w:rFonts w:ascii="Calibri" w:eastAsia="Times New Roman" w:hAnsi="Calibri" w:cs="Calibri"/>
                <w:sz w:val="16"/>
                <w:szCs w:val="16"/>
                <w:lang w:val="en-US"/>
              </w:rPr>
              <w:t>evaluation</w:t>
            </w:r>
            <w:r w:rsidRPr="00CD2D3A">
              <w:rPr>
                <w:rFonts w:ascii="Calibri" w:eastAsia="Times New Roman" w:hAnsi="Calibri" w:cs="Calibri"/>
                <w:sz w:val="16"/>
                <w:szCs w:val="16"/>
                <w:lang w:val="en-US"/>
              </w:rPr>
              <w:t>.</w:t>
            </w:r>
          </w:p>
        </w:tc>
      </w:tr>
    </w:tbl>
    <w:p w14:paraId="0C69AEB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95729C7" w14:textId="77777777">
        <w:trPr>
          <w:divId w:val="1858082648"/>
        </w:trPr>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Research priorities</w:t>
            </w:r>
          </w:p>
        </w:tc>
      </w:tr>
      <w:tr w:rsidR="000526C3" w:rsidRPr="006D6A3E" w14:paraId="052C420F" w14:textId="77777777" w:rsidTr="00742C82">
        <w:trPr>
          <w:divId w:val="1858082648"/>
          <w:trHeight w:val="519"/>
        </w:trPr>
        <w:tc>
          <w:tcPr>
            <w:tcW w:w="0" w:type="auto"/>
            <w:tcMar>
              <w:top w:w="75" w:type="dxa"/>
              <w:left w:w="75" w:type="dxa"/>
              <w:bottom w:w="75" w:type="dxa"/>
              <w:right w:w="75" w:type="dxa"/>
            </w:tcMar>
            <w:hideMark/>
          </w:tcPr>
          <w:p w14:paraId="6A4571D1" w14:textId="512C38D0" w:rsidR="000526C3" w:rsidRPr="00CD2D3A" w:rsidRDefault="00FC63EB">
            <w:pPr>
              <w:pStyle w:val="public-draftstyledefault-unorderedlistitem"/>
              <w:rPr>
                <w:rFonts w:ascii="Calibri" w:eastAsia="Times New Roman" w:hAnsi="Calibri" w:cs="Calibri"/>
                <w:sz w:val="16"/>
                <w:szCs w:val="16"/>
                <w:lang w:val="en-US"/>
              </w:rPr>
            </w:pPr>
            <w:r>
              <w:rPr>
                <w:rFonts w:ascii="Calibri" w:eastAsia="Times New Roman" w:hAnsi="Calibri" w:cs="Calibri"/>
                <w:sz w:val="16"/>
                <w:szCs w:val="16"/>
                <w:lang w:val="en-US"/>
              </w:rPr>
              <w:t>The overall certainty in the evidence is very low. As such, there is clinical equipoise for additional trials related to IV vs. IO drug administration</w:t>
            </w:r>
            <w:r w:rsidR="00295A06">
              <w:rPr>
                <w:rFonts w:ascii="Calibri" w:eastAsia="Times New Roman" w:hAnsi="Calibri" w:cs="Calibri"/>
                <w:sz w:val="16"/>
                <w:szCs w:val="16"/>
                <w:lang w:val="en-US"/>
              </w:rPr>
              <w:t xml:space="preserve"> during cardiac arrest</w:t>
            </w:r>
            <w:r>
              <w:rPr>
                <w:rFonts w:ascii="Calibri" w:eastAsia="Times New Roman" w:hAnsi="Calibri" w:cs="Calibri"/>
                <w:sz w:val="16"/>
                <w:szCs w:val="16"/>
                <w:lang w:val="en-US"/>
              </w:rPr>
              <w:t xml:space="preserve">. These could include trials </w:t>
            </w:r>
            <w:r w:rsidR="00295A06">
              <w:rPr>
                <w:rFonts w:ascii="Calibri" w:eastAsia="Times New Roman" w:hAnsi="Calibri" w:cs="Calibri"/>
                <w:sz w:val="16"/>
                <w:szCs w:val="16"/>
                <w:lang w:val="en-US"/>
              </w:rPr>
              <w:t xml:space="preserve">that </w:t>
            </w:r>
            <w:r>
              <w:rPr>
                <w:rFonts w:ascii="Calibri" w:eastAsia="Times New Roman" w:hAnsi="Calibri" w:cs="Calibri"/>
                <w:sz w:val="16"/>
                <w:szCs w:val="16"/>
                <w:lang w:val="en-US"/>
              </w:rPr>
              <w:t>directly compar</w:t>
            </w:r>
            <w:r w:rsidR="00295A06">
              <w:rPr>
                <w:rFonts w:ascii="Calibri" w:eastAsia="Times New Roman" w:hAnsi="Calibri" w:cs="Calibri"/>
                <w:sz w:val="16"/>
                <w:szCs w:val="16"/>
                <w:lang w:val="en-US"/>
              </w:rPr>
              <w:t>e</w:t>
            </w:r>
            <w:r>
              <w:rPr>
                <w:rFonts w:ascii="Calibri" w:eastAsia="Times New Roman" w:hAnsi="Calibri" w:cs="Calibri"/>
                <w:sz w:val="16"/>
                <w:szCs w:val="16"/>
                <w:lang w:val="en-US"/>
              </w:rPr>
              <w:t xml:space="preserve"> IV to </w:t>
            </w:r>
            <w:r w:rsidR="002B550F">
              <w:rPr>
                <w:rFonts w:ascii="Calibri" w:eastAsia="Times New Roman" w:hAnsi="Calibri" w:cs="Calibri"/>
                <w:sz w:val="16"/>
                <w:szCs w:val="16"/>
                <w:lang w:val="en-US"/>
              </w:rPr>
              <w:t xml:space="preserve">different sites of </w:t>
            </w:r>
            <w:r>
              <w:rPr>
                <w:rFonts w:ascii="Calibri" w:eastAsia="Times New Roman" w:hAnsi="Calibri" w:cs="Calibri"/>
                <w:sz w:val="16"/>
                <w:szCs w:val="16"/>
                <w:lang w:val="en-US"/>
              </w:rPr>
              <w:t xml:space="preserve">IO access (e.g. tibial, humeral). </w:t>
            </w:r>
          </w:p>
        </w:tc>
      </w:tr>
    </w:tbl>
    <w:p w14:paraId="69BCB137" w14:textId="24EC7218" w:rsidR="00652999" w:rsidRPr="00F6408D" w:rsidRDefault="00F6408D">
      <w:pPr>
        <w:divId w:val="1858082648"/>
        <w:rPr>
          <w:rFonts w:eastAsia="Times New Roman" w:cstheme="minorHAnsi"/>
          <w:b/>
          <w:sz w:val="16"/>
          <w:szCs w:val="16"/>
          <w:u w:val="single"/>
          <w:lang w:val="en-US"/>
        </w:rPr>
      </w:pPr>
      <w:r w:rsidRPr="00F6408D">
        <w:rPr>
          <w:rFonts w:eastAsia="Times New Roman" w:cstheme="minorHAnsi"/>
          <w:b/>
          <w:sz w:val="16"/>
          <w:szCs w:val="16"/>
          <w:u w:val="single"/>
          <w:lang w:val="en-US"/>
        </w:rPr>
        <w:t>References</w:t>
      </w:r>
    </w:p>
    <w:p w14:paraId="4F2A3B79" w14:textId="2189310B" w:rsidR="002800B0" w:rsidRDefault="002800B0" w:rsidP="00A1511D">
      <w:pPr>
        <w:rPr>
          <w:rFonts w:eastAsia="Times New Roman" w:cstheme="minorHAnsi"/>
          <w:noProof/>
          <w:sz w:val="16"/>
          <w:szCs w:val="16"/>
          <w:lang w:val="en-US"/>
        </w:rPr>
      </w:pPr>
      <w:r w:rsidRPr="00A1511D">
        <w:rPr>
          <w:rFonts w:eastAsia="Times New Roman" w:cstheme="minorHAnsi"/>
          <w:noProof/>
          <w:sz w:val="16"/>
          <w:szCs w:val="16"/>
          <w:lang w:val="en-US"/>
        </w:rPr>
        <w:t>Ali MU, Fitzpatrick-Lewis D, Kenny M, Raina P, Atkins DL, Soar J, Nolan J, Ristagno G and Sherifali D. Effectiveness of antiarrhythmic drugs for shockable cardiac arrest: A systematic review.</w:t>
      </w:r>
      <w:r>
        <w:rPr>
          <w:rFonts w:eastAsia="Times New Roman" w:cstheme="minorHAnsi"/>
          <w:noProof/>
          <w:sz w:val="16"/>
          <w:szCs w:val="16"/>
          <w:lang w:val="en-US"/>
        </w:rPr>
        <w:t xml:space="preserve"> Resuscitation. 2018;132:63-72.</w:t>
      </w:r>
    </w:p>
    <w:p w14:paraId="3DFF7B2A" w14:textId="77777777" w:rsidR="002800B0" w:rsidRPr="00A1511D" w:rsidRDefault="002800B0" w:rsidP="002800B0">
      <w:pPr>
        <w:rPr>
          <w:rFonts w:eastAsia="Times New Roman" w:cstheme="minorHAnsi"/>
          <w:noProof/>
          <w:sz w:val="16"/>
          <w:szCs w:val="16"/>
          <w:lang w:val="en-US"/>
        </w:rPr>
      </w:pPr>
      <w:r w:rsidRPr="00A1511D">
        <w:rPr>
          <w:rFonts w:eastAsia="Times New Roman" w:cstheme="minorHAnsi"/>
          <w:noProof/>
          <w:sz w:val="16"/>
          <w:szCs w:val="16"/>
          <w:lang w:val="en-US"/>
        </w:rPr>
        <w:t>Haywood K, Whitehead L, Nadkarni VM, Achana F, Beesems S, Bottiger BW, Brooks A, Castren M, Ong ME, Hazinski MF, Koster RW, Lilja G, Long J, Monsieurs KG, Morley PT, Morrison L, Nichol G, Oriolo V, Saposnik G, Smyth M, Spearpoint K, Williams B, Perkins GD and Collaborators C. COSCA (Core Outcome Set for Cardiac Arrest) in Adults: An Advisory Statement From the International Liaison Committee on Resuscitation. Circulation. 2018;137:e783-e801.</w:t>
      </w:r>
    </w:p>
    <w:p w14:paraId="41D9F06A" w14:textId="01353524" w:rsidR="002800B0" w:rsidRDefault="002800B0" w:rsidP="00A1511D">
      <w:pPr>
        <w:rPr>
          <w:rFonts w:eastAsia="Times New Roman" w:cstheme="minorHAnsi"/>
          <w:noProof/>
          <w:sz w:val="16"/>
          <w:szCs w:val="16"/>
          <w:lang w:val="en-US"/>
        </w:rPr>
      </w:pPr>
      <w:r w:rsidRPr="00A1511D">
        <w:rPr>
          <w:rFonts w:eastAsia="Times New Roman" w:cstheme="minorHAnsi"/>
          <w:noProof/>
          <w:sz w:val="16"/>
          <w:szCs w:val="16"/>
          <w:lang w:val="en-US"/>
        </w:rPr>
        <w:t>Holmberg MJ, Issa MS, Moskowitz A, Morley P, Welsford M, Neumar RW, Paiva EF, Coker A, Hansen CK, Andersen LW, Donnino MW, Berg KM and International Liaison Committee on Resuscitation Advanced Life Support Task Force C. Vasopressors during adult cardiac arrest: A systematic review and meta-analysis. R</w:t>
      </w:r>
      <w:r>
        <w:rPr>
          <w:rFonts w:eastAsia="Times New Roman" w:cstheme="minorHAnsi"/>
          <w:noProof/>
          <w:sz w:val="16"/>
          <w:szCs w:val="16"/>
          <w:lang w:val="en-US"/>
        </w:rPr>
        <w:t>esuscitation. 2019;139:106-121.</w:t>
      </w:r>
    </w:p>
    <w:p w14:paraId="63738BE2" w14:textId="61D37ED1" w:rsidR="002800B0" w:rsidRPr="002800B0" w:rsidRDefault="002800B0" w:rsidP="00A1511D">
      <w:pPr>
        <w:rPr>
          <w:rFonts w:eastAsia="Times New Roman"/>
          <w:lang w:val="en-US"/>
        </w:rPr>
      </w:pPr>
      <w:r w:rsidRPr="00A1511D">
        <w:rPr>
          <w:rFonts w:eastAsia="Times New Roman" w:cstheme="minorHAnsi"/>
          <w:noProof/>
          <w:sz w:val="16"/>
          <w:szCs w:val="16"/>
          <w:lang w:val="en-US"/>
        </w:rPr>
        <w:t>Link MS, Berkow LC, Kudenchuk PJ, Halperin HR, Hess EP, Moitra VK, Neumar RW, O'Neil BJ, Paxton JH, Silvers SM, White RD, Yannopoulos D and Donnino MW. Part 7: Adult Advanced Cardiovascular Life Support: 2015 American Heart Association Guidelines Update for Cardiopulmonary Resuscitation and Emergency Cardiovascular Care. Circulation. 2015;132:S444-64.</w:t>
      </w:r>
      <w:r w:rsidRPr="00F6408D">
        <w:rPr>
          <w:rFonts w:eastAsia="Times New Roman" w:cstheme="minorHAnsi"/>
          <w:noProof/>
          <w:sz w:val="16"/>
          <w:szCs w:val="16"/>
          <w:lang w:val="en-US"/>
        </w:rPr>
        <w:fldChar w:fldCharType="begin"/>
      </w:r>
      <w:r w:rsidRPr="00F6408D">
        <w:rPr>
          <w:rFonts w:eastAsia="Times New Roman" w:cstheme="minorHAnsi"/>
          <w:sz w:val="16"/>
          <w:szCs w:val="16"/>
          <w:lang w:val="en-US"/>
        </w:rPr>
        <w:instrText xml:space="preserve"> ADDIN EN.REFLIST </w:instrText>
      </w:r>
      <w:r w:rsidRPr="00F6408D">
        <w:rPr>
          <w:rFonts w:eastAsia="Times New Roman" w:cstheme="minorHAnsi"/>
          <w:noProof/>
          <w:sz w:val="16"/>
          <w:szCs w:val="16"/>
          <w:lang w:val="en-US"/>
        </w:rPr>
        <w:fldChar w:fldCharType="end"/>
      </w:r>
    </w:p>
    <w:p w14:paraId="7A213085" w14:textId="25231D5D" w:rsidR="00A1511D" w:rsidRPr="00A1511D" w:rsidRDefault="00A1511D" w:rsidP="00A1511D">
      <w:pPr>
        <w:rPr>
          <w:rFonts w:eastAsia="Times New Roman" w:cstheme="minorHAnsi"/>
          <w:noProof/>
          <w:sz w:val="16"/>
          <w:szCs w:val="16"/>
          <w:lang w:val="en-US"/>
        </w:rPr>
      </w:pPr>
      <w:r w:rsidRPr="00A1511D">
        <w:rPr>
          <w:rFonts w:eastAsia="Times New Roman" w:cstheme="minorHAnsi"/>
          <w:noProof/>
          <w:sz w:val="16"/>
          <w:szCs w:val="16"/>
          <w:lang w:val="en-US"/>
        </w:rPr>
        <w:t>Reades R, Studnek JR, Vandeventer S and Garrett J. Intraosseous versus intravenous vascular access during out-of-hospital cardiac arrest: a randomized controlled trial. Ann Emerg Med. 2011;58:509-16.</w:t>
      </w:r>
    </w:p>
    <w:p w14:paraId="6D8F26DC" w14:textId="45DDC301" w:rsidR="00A1511D" w:rsidRPr="00A1511D" w:rsidRDefault="00A1511D" w:rsidP="00A1511D">
      <w:pPr>
        <w:rPr>
          <w:rFonts w:eastAsia="Times New Roman" w:cstheme="minorHAnsi"/>
          <w:noProof/>
          <w:sz w:val="16"/>
          <w:szCs w:val="16"/>
          <w:lang w:val="en-US"/>
        </w:rPr>
      </w:pPr>
      <w:r w:rsidRPr="00A1511D">
        <w:rPr>
          <w:rFonts w:eastAsia="Times New Roman" w:cstheme="minorHAnsi"/>
          <w:noProof/>
          <w:sz w:val="16"/>
          <w:szCs w:val="16"/>
          <w:lang w:val="en-US"/>
        </w:rPr>
        <w:t>Soar J, Nolan JP, Bottiger BW, Perkins GD, Lott C, Carli P, Pellis T, Sandroni C, Skrifvars MB, Smith GB, Sunde K, Deakin CD and Adult advanced life support section C. European Resuscitation Council Guidelines for Resuscitation 2015: Section 3. Adult advanced life support. Resuscitation. 2015;95:100-47.</w:t>
      </w:r>
    </w:p>
    <w:sectPr w:rsidR="00A1511D" w:rsidRPr="00A1511D">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25C0B0FC"/>
    <w:lvl w:ilvl="0">
      <w:start w:val="1"/>
      <w:numFmt w:val="lowerLetter"/>
      <w:lvlText w:val="%1."/>
      <w:lvlJc w:val="left"/>
      <w:pPr>
        <w:tabs>
          <w:tab w:val="num" w:pos="720"/>
        </w:tabs>
        <w:ind w:left="720" w:hanging="360"/>
      </w:pPr>
      <w:rPr>
        <w:rFonts w:asciiTheme="majorHAnsi" w:hAnsiTheme="majorHAnsi" w:cstheme="maj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129680A8"/>
    <w:lvl w:ilvl="0">
      <w:start w:val="1"/>
      <w:numFmt w:val="lowerLetter"/>
      <w:lvlText w:val="%1."/>
      <w:lvlJc w:val="left"/>
      <w:pPr>
        <w:tabs>
          <w:tab w:val="num" w:pos="720"/>
        </w:tabs>
        <w:ind w:left="720" w:hanging="360"/>
      </w:pPr>
      <w:rPr>
        <w:rFonts w:asciiTheme="majorHAnsi" w:hAnsiTheme="majorHAnsi" w:cstheme="maj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A002B6"/>
    <w:multiLevelType w:val="hybridMultilevel"/>
    <w:tmpl w:val="9EEE7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dpwd0sb5vf2newzwb559010wsttvxs2pre&quot;&gt;CH EndNote Library 061219&lt;record-ids&gt;&lt;item&gt;2932&lt;/item&gt;&lt;/record-ids&gt;&lt;/item&gt;&lt;/Libraries&gt;"/>
  </w:docVars>
  <w:rsids>
    <w:rsidRoot w:val="00AE3DC7"/>
    <w:rsid w:val="00001483"/>
    <w:rsid w:val="00045AFF"/>
    <w:rsid w:val="000526C3"/>
    <w:rsid w:val="00074ABB"/>
    <w:rsid w:val="000A17F7"/>
    <w:rsid w:val="000E0F29"/>
    <w:rsid w:val="00113FD5"/>
    <w:rsid w:val="00122507"/>
    <w:rsid w:val="00145E59"/>
    <w:rsid w:val="00162AA0"/>
    <w:rsid w:val="001B2F28"/>
    <w:rsid w:val="001E7BAE"/>
    <w:rsid w:val="00227F73"/>
    <w:rsid w:val="00257855"/>
    <w:rsid w:val="00261C2A"/>
    <w:rsid w:val="002800B0"/>
    <w:rsid w:val="00295A06"/>
    <w:rsid w:val="002B550F"/>
    <w:rsid w:val="002C660A"/>
    <w:rsid w:val="00355B77"/>
    <w:rsid w:val="00356D36"/>
    <w:rsid w:val="00375C80"/>
    <w:rsid w:val="00383139"/>
    <w:rsid w:val="003924DF"/>
    <w:rsid w:val="00396BD4"/>
    <w:rsid w:val="003A7788"/>
    <w:rsid w:val="0040299F"/>
    <w:rsid w:val="004247D5"/>
    <w:rsid w:val="00465424"/>
    <w:rsid w:val="004743AA"/>
    <w:rsid w:val="004849AB"/>
    <w:rsid w:val="004911B2"/>
    <w:rsid w:val="00492148"/>
    <w:rsid w:val="004A6FC1"/>
    <w:rsid w:val="004C2FC2"/>
    <w:rsid w:val="00502E4B"/>
    <w:rsid w:val="00560D4F"/>
    <w:rsid w:val="005720B0"/>
    <w:rsid w:val="00637CE9"/>
    <w:rsid w:val="00652999"/>
    <w:rsid w:val="00654FF5"/>
    <w:rsid w:val="00681AC6"/>
    <w:rsid w:val="00690C44"/>
    <w:rsid w:val="006D6A3E"/>
    <w:rsid w:val="007067BF"/>
    <w:rsid w:val="00740364"/>
    <w:rsid w:val="00742C82"/>
    <w:rsid w:val="00761632"/>
    <w:rsid w:val="007A21F6"/>
    <w:rsid w:val="007E633F"/>
    <w:rsid w:val="00815EF0"/>
    <w:rsid w:val="00834352"/>
    <w:rsid w:val="00863FA7"/>
    <w:rsid w:val="00884D8F"/>
    <w:rsid w:val="008B7A1B"/>
    <w:rsid w:val="00920C0A"/>
    <w:rsid w:val="00970B8B"/>
    <w:rsid w:val="009C7687"/>
    <w:rsid w:val="00A1511D"/>
    <w:rsid w:val="00A635CE"/>
    <w:rsid w:val="00A92B84"/>
    <w:rsid w:val="00A96752"/>
    <w:rsid w:val="00AE3DC7"/>
    <w:rsid w:val="00B0155B"/>
    <w:rsid w:val="00B067A8"/>
    <w:rsid w:val="00B5140F"/>
    <w:rsid w:val="00B95E2E"/>
    <w:rsid w:val="00BB6A34"/>
    <w:rsid w:val="00C05089"/>
    <w:rsid w:val="00C06701"/>
    <w:rsid w:val="00C82A4F"/>
    <w:rsid w:val="00CD2D3A"/>
    <w:rsid w:val="00D22F2A"/>
    <w:rsid w:val="00D26AE4"/>
    <w:rsid w:val="00D65A05"/>
    <w:rsid w:val="00E148B2"/>
    <w:rsid w:val="00E371F4"/>
    <w:rsid w:val="00E6577E"/>
    <w:rsid w:val="00E87BD8"/>
    <w:rsid w:val="00EB10E2"/>
    <w:rsid w:val="00ED7130"/>
    <w:rsid w:val="00EE43B2"/>
    <w:rsid w:val="00EF66E6"/>
    <w:rsid w:val="00F03F76"/>
    <w:rsid w:val="00F23F77"/>
    <w:rsid w:val="00F27E5E"/>
    <w:rsid w:val="00F30FAC"/>
    <w:rsid w:val="00F6408D"/>
    <w:rsid w:val="00F6580D"/>
    <w:rsid w:val="00F90D18"/>
    <w:rsid w:val="00FB1E4A"/>
    <w:rsid w:val="00FC63EB"/>
    <w:rsid w:val="00FE4DED"/>
    <w:rsid w:val="00FF5C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EBD"/>
  <w15:docId w15:val="{10A32D47-2A24-4A44-9A4C-4ABEA82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65299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52999"/>
    <w:rPr>
      <w:rFonts w:ascii="Calibri" w:hAnsi="Calibri" w:cs="Calibri"/>
      <w:noProof/>
    </w:rPr>
  </w:style>
  <w:style w:type="paragraph" w:customStyle="1" w:styleId="EndNoteBibliography">
    <w:name w:val="EndNote Bibliography"/>
    <w:basedOn w:val="Normal"/>
    <w:link w:val="EndNoteBibliographyChar"/>
    <w:rsid w:val="0065299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52999"/>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915">
                          <w:marLeft w:val="0"/>
                          <w:marRight w:val="0"/>
                          <w:marTop w:val="0"/>
                          <w:marBottom w:val="0"/>
                          <w:divBdr>
                            <w:top w:val="none" w:sz="0" w:space="0" w:color="auto"/>
                            <w:left w:val="none" w:sz="0" w:space="0" w:color="auto"/>
                            <w:bottom w:val="none" w:sz="0" w:space="0" w:color="auto"/>
                            <w:right w:val="none" w:sz="0" w:space="0" w:color="auto"/>
                          </w:divBdr>
                          <w:divsChild>
                            <w:div w:id="1923445027">
                              <w:marLeft w:val="0"/>
                              <w:marRight w:val="0"/>
                              <w:marTop w:val="0"/>
                              <w:marBottom w:val="0"/>
                              <w:divBdr>
                                <w:top w:val="none" w:sz="0" w:space="0" w:color="auto"/>
                                <w:left w:val="none" w:sz="0" w:space="0" w:color="auto"/>
                                <w:bottom w:val="none" w:sz="0" w:space="0" w:color="auto"/>
                                <w:right w:val="none" w:sz="0" w:space="0" w:color="auto"/>
                              </w:divBdr>
                              <w:divsChild>
                                <w:div w:id="1176531535">
                                  <w:marLeft w:val="0"/>
                                  <w:marRight w:val="0"/>
                                  <w:marTop w:val="0"/>
                                  <w:marBottom w:val="0"/>
                                  <w:divBdr>
                                    <w:top w:val="none" w:sz="0" w:space="0" w:color="auto"/>
                                    <w:left w:val="none" w:sz="0" w:space="0" w:color="auto"/>
                                    <w:bottom w:val="none" w:sz="0" w:space="0" w:color="auto"/>
                                    <w:right w:val="none" w:sz="0" w:space="0" w:color="auto"/>
                                  </w:divBdr>
                                  <w:divsChild>
                                    <w:div w:id="141121857">
                                      <w:marLeft w:val="0"/>
                                      <w:marRight w:val="0"/>
                                      <w:marTop w:val="0"/>
                                      <w:marBottom w:val="0"/>
                                      <w:divBdr>
                                        <w:top w:val="none" w:sz="0" w:space="0" w:color="auto"/>
                                        <w:left w:val="none" w:sz="0" w:space="0" w:color="auto"/>
                                        <w:bottom w:val="none" w:sz="0" w:space="0" w:color="auto"/>
                                        <w:right w:val="none" w:sz="0" w:space="0" w:color="auto"/>
                                      </w:divBdr>
                                      <w:divsChild>
                                        <w:div w:id="1460802358">
                                          <w:marLeft w:val="0"/>
                                          <w:marRight w:val="0"/>
                                          <w:marTop w:val="0"/>
                                          <w:marBottom w:val="0"/>
                                          <w:divBdr>
                                            <w:top w:val="none" w:sz="0" w:space="0" w:color="auto"/>
                                            <w:left w:val="none" w:sz="0" w:space="0" w:color="auto"/>
                                            <w:bottom w:val="none" w:sz="0" w:space="0" w:color="auto"/>
                                            <w:right w:val="none" w:sz="0" w:space="0" w:color="auto"/>
                                          </w:divBdr>
                                          <w:divsChild>
                                            <w:div w:id="240994171">
                                              <w:marLeft w:val="0"/>
                                              <w:marRight w:val="0"/>
                                              <w:marTop w:val="0"/>
                                              <w:marBottom w:val="0"/>
                                              <w:divBdr>
                                                <w:top w:val="none" w:sz="0" w:space="0" w:color="auto"/>
                                                <w:left w:val="none" w:sz="0" w:space="0" w:color="auto"/>
                                                <w:bottom w:val="none" w:sz="0" w:space="0" w:color="auto"/>
                                                <w:right w:val="none" w:sz="0" w:space="0" w:color="auto"/>
                                              </w:divBdr>
                                              <w:divsChild>
                                                <w:div w:id="1639147297">
                                                  <w:marLeft w:val="0"/>
                                                  <w:marRight w:val="0"/>
                                                  <w:marTop w:val="0"/>
                                                  <w:marBottom w:val="0"/>
                                                  <w:divBdr>
                                                    <w:top w:val="none" w:sz="0" w:space="0" w:color="auto"/>
                                                    <w:left w:val="none" w:sz="0" w:space="0" w:color="auto"/>
                                                    <w:bottom w:val="none" w:sz="0" w:space="0" w:color="auto"/>
                                                    <w:right w:val="none" w:sz="0" w:space="0" w:color="auto"/>
                                                  </w:divBdr>
                                                  <w:divsChild>
                                                    <w:div w:id="995302651">
                                                      <w:marLeft w:val="0"/>
                                                      <w:marRight w:val="0"/>
                                                      <w:marTop w:val="0"/>
                                                      <w:marBottom w:val="0"/>
                                                      <w:divBdr>
                                                        <w:top w:val="none" w:sz="0" w:space="0" w:color="auto"/>
                                                        <w:left w:val="none" w:sz="0" w:space="0" w:color="auto"/>
                                                        <w:bottom w:val="none" w:sz="0" w:space="0" w:color="auto"/>
                                                        <w:right w:val="none" w:sz="0" w:space="0" w:color="auto"/>
                                                      </w:divBdr>
                                                      <w:divsChild>
                                                        <w:div w:id="1232232573">
                                                          <w:marLeft w:val="0"/>
                                                          <w:marRight w:val="0"/>
                                                          <w:marTop w:val="0"/>
                                                          <w:marBottom w:val="0"/>
                                                          <w:divBdr>
                                                            <w:top w:val="none" w:sz="0" w:space="0" w:color="auto"/>
                                                            <w:left w:val="none" w:sz="0" w:space="0" w:color="auto"/>
                                                            <w:bottom w:val="none" w:sz="0" w:space="0" w:color="auto"/>
                                                            <w:right w:val="none" w:sz="0" w:space="0" w:color="auto"/>
                                                          </w:divBdr>
                                                          <w:divsChild>
                                                            <w:div w:id="1839341168">
                                                              <w:marLeft w:val="0"/>
                                                              <w:marRight w:val="0"/>
                                                              <w:marTop w:val="0"/>
                                                              <w:marBottom w:val="0"/>
                                                              <w:divBdr>
                                                                <w:top w:val="none" w:sz="0" w:space="0" w:color="auto"/>
                                                                <w:left w:val="none" w:sz="0" w:space="0" w:color="auto"/>
                                                                <w:bottom w:val="none" w:sz="0" w:space="0" w:color="auto"/>
                                                                <w:right w:val="none" w:sz="0" w:space="0" w:color="auto"/>
                                                              </w:divBdr>
                                                              <w:divsChild>
                                                                <w:div w:id="775179619">
                                                                  <w:marLeft w:val="0"/>
                                                                  <w:marRight w:val="0"/>
                                                                  <w:marTop w:val="0"/>
                                                                  <w:marBottom w:val="0"/>
                                                                  <w:divBdr>
                                                                    <w:top w:val="none" w:sz="0" w:space="0" w:color="auto"/>
                                                                    <w:left w:val="none" w:sz="0" w:space="0" w:color="auto"/>
                                                                    <w:bottom w:val="none" w:sz="0" w:space="0" w:color="auto"/>
                                                                    <w:right w:val="none" w:sz="0" w:space="0" w:color="auto"/>
                                                                  </w:divBdr>
                                                                  <w:divsChild>
                                                                    <w:div w:id="2025589884">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9209">
                          <w:marLeft w:val="0"/>
                          <w:marRight w:val="0"/>
                          <w:marTop w:val="0"/>
                          <w:marBottom w:val="0"/>
                          <w:divBdr>
                            <w:top w:val="none" w:sz="0" w:space="0" w:color="auto"/>
                            <w:left w:val="none" w:sz="0" w:space="0" w:color="auto"/>
                            <w:bottom w:val="none" w:sz="0" w:space="0" w:color="auto"/>
                            <w:right w:val="none" w:sz="0" w:space="0" w:color="auto"/>
                          </w:divBdr>
                          <w:divsChild>
                            <w:div w:id="1776247029">
                              <w:marLeft w:val="0"/>
                              <w:marRight w:val="0"/>
                              <w:marTop w:val="0"/>
                              <w:marBottom w:val="0"/>
                              <w:divBdr>
                                <w:top w:val="none" w:sz="0" w:space="0" w:color="auto"/>
                                <w:left w:val="none" w:sz="0" w:space="0" w:color="auto"/>
                                <w:bottom w:val="none" w:sz="0" w:space="0" w:color="auto"/>
                                <w:right w:val="none" w:sz="0" w:space="0" w:color="auto"/>
                              </w:divBdr>
                              <w:divsChild>
                                <w:div w:id="1617255133">
                                  <w:marLeft w:val="0"/>
                                  <w:marRight w:val="0"/>
                                  <w:marTop w:val="0"/>
                                  <w:marBottom w:val="0"/>
                                  <w:divBdr>
                                    <w:top w:val="none" w:sz="0" w:space="0" w:color="auto"/>
                                    <w:left w:val="none" w:sz="0" w:space="0" w:color="auto"/>
                                    <w:bottom w:val="none" w:sz="0" w:space="0" w:color="auto"/>
                                    <w:right w:val="none" w:sz="0" w:space="0" w:color="auto"/>
                                  </w:divBdr>
                                  <w:divsChild>
                                    <w:div w:id="1552036326">
                                      <w:marLeft w:val="0"/>
                                      <w:marRight w:val="0"/>
                                      <w:marTop w:val="0"/>
                                      <w:marBottom w:val="0"/>
                                      <w:divBdr>
                                        <w:top w:val="none" w:sz="0" w:space="0" w:color="auto"/>
                                        <w:left w:val="none" w:sz="0" w:space="0" w:color="auto"/>
                                        <w:bottom w:val="none" w:sz="0" w:space="0" w:color="auto"/>
                                        <w:right w:val="none" w:sz="0" w:space="0" w:color="auto"/>
                                      </w:divBdr>
                                      <w:divsChild>
                                        <w:div w:id="2082098103">
                                          <w:marLeft w:val="0"/>
                                          <w:marRight w:val="0"/>
                                          <w:marTop w:val="0"/>
                                          <w:marBottom w:val="0"/>
                                          <w:divBdr>
                                            <w:top w:val="none" w:sz="0" w:space="0" w:color="auto"/>
                                            <w:left w:val="none" w:sz="0" w:space="0" w:color="auto"/>
                                            <w:bottom w:val="none" w:sz="0" w:space="0" w:color="auto"/>
                                            <w:right w:val="none" w:sz="0" w:space="0" w:color="auto"/>
                                          </w:divBdr>
                                          <w:divsChild>
                                            <w:div w:id="866336045">
                                              <w:marLeft w:val="0"/>
                                              <w:marRight w:val="0"/>
                                              <w:marTop w:val="0"/>
                                              <w:marBottom w:val="0"/>
                                              <w:divBdr>
                                                <w:top w:val="none" w:sz="0" w:space="0" w:color="auto"/>
                                                <w:left w:val="none" w:sz="0" w:space="0" w:color="auto"/>
                                                <w:bottom w:val="none" w:sz="0" w:space="0" w:color="auto"/>
                                                <w:right w:val="none" w:sz="0" w:space="0" w:color="auto"/>
                                              </w:divBdr>
                                              <w:divsChild>
                                                <w:div w:id="1611736878">
                                                  <w:marLeft w:val="0"/>
                                                  <w:marRight w:val="0"/>
                                                  <w:marTop w:val="0"/>
                                                  <w:marBottom w:val="0"/>
                                                  <w:divBdr>
                                                    <w:top w:val="none" w:sz="0" w:space="0" w:color="auto"/>
                                                    <w:left w:val="none" w:sz="0" w:space="0" w:color="auto"/>
                                                    <w:bottom w:val="none" w:sz="0" w:space="0" w:color="auto"/>
                                                    <w:right w:val="none" w:sz="0" w:space="0" w:color="auto"/>
                                                  </w:divBdr>
                                                  <w:divsChild>
                                                    <w:div w:id="1290163495">
                                                      <w:marLeft w:val="0"/>
                                                      <w:marRight w:val="0"/>
                                                      <w:marTop w:val="0"/>
                                                      <w:marBottom w:val="0"/>
                                                      <w:divBdr>
                                                        <w:top w:val="none" w:sz="0" w:space="0" w:color="auto"/>
                                                        <w:left w:val="none" w:sz="0" w:space="0" w:color="auto"/>
                                                        <w:bottom w:val="none" w:sz="0" w:space="0" w:color="auto"/>
                                                        <w:right w:val="none" w:sz="0" w:space="0" w:color="auto"/>
                                                      </w:divBdr>
                                                      <w:divsChild>
                                                        <w:div w:id="98721343">
                                                          <w:marLeft w:val="0"/>
                                                          <w:marRight w:val="0"/>
                                                          <w:marTop w:val="0"/>
                                                          <w:marBottom w:val="0"/>
                                                          <w:divBdr>
                                                            <w:top w:val="none" w:sz="0" w:space="0" w:color="auto"/>
                                                            <w:left w:val="none" w:sz="0" w:space="0" w:color="auto"/>
                                                            <w:bottom w:val="none" w:sz="0" w:space="0" w:color="auto"/>
                                                            <w:right w:val="none" w:sz="0" w:space="0" w:color="auto"/>
                                                          </w:divBdr>
                                                          <w:divsChild>
                                                            <w:div w:id="423384177">
                                                              <w:marLeft w:val="0"/>
                                                              <w:marRight w:val="0"/>
                                                              <w:marTop w:val="0"/>
                                                              <w:marBottom w:val="0"/>
                                                              <w:divBdr>
                                                                <w:top w:val="none" w:sz="0" w:space="0" w:color="auto"/>
                                                                <w:left w:val="none" w:sz="0" w:space="0" w:color="auto"/>
                                                                <w:bottom w:val="none" w:sz="0" w:space="0" w:color="auto"/>
                                                                <w:right w:val="none" w:sz="0" w:space="0" w:color="auto"/>
                                                              </w:divBdr>
                                                              <w:divsChild>
                                                                <w:div w:id="1879393986">
                                                                  <w:marLeft w:val="0"/>
                                                                  <w:marRight w:val="0"/>
                                                                  <w:marTop w:val="0"/>
                                                                  <w:marBottom w:val="0"/>
                                                                  <w:divBdr>
                                                                    <w:top w:val="none" w:sz="0" w:space="0" w:color="auto"/>
                                                                    <w:left w:val="none" w:sz="0" w:space="0" w:color="auto"/>
                                                                    <w:bottom w:val="none" w:sz="0" w:space="0" w:color="auto"/>
                                                                    <w:right w:val="none" w:sz="0" w:space="0" w:color="auto"/>
                                                                  </w:divBdr>
                                                                  <w:divsChild>
                                                                    <w:div w:id="11225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3793">
                          <w:marLeft w:val="0"/>
                          <w:marRight w:val="0"/>
                          <w:marTop w:val="0"/>
                          <w:marBottom w:val="0"/>
                          <w:divBdr>
                            <w:top w:val="none" w:sz="0" w:space="0" w:color="auto"/>
                            <w:left w:val="none" w:sz="0" w:space="0" w:color="auto"/>
                            <w:bottom w:val="none" w:sz="0" w:space="0" w:color="auto"/>
                            <w:right w:val="none" w:sz="0" w:space="0" w:color="auto"/>
                          </w:divBdr>
                          <w:divsChild>
                            <w:div w:id="2007395918">
                              <w:marLeft w:val="0"/>
                              <w:marRight w:val="0"/>
                              <w:marTop w:val="0"/>
                              <w:marBottom w:val="0"/>
                              <w:divBdr>
                                <w:top w:val="none" w:sz="0" w:space="0" w:color="auto"/>
                                <w:left w:val="none" w:sz="0" w:space="0" w:color="auto"/>
                                <w:bottom w:val="none" w:sz="0" w:space="0" w:color="auto"/>
                                <w:right w:val="none" w:sz="0" w:space="0" w:color="auto"/>
                              </w:divBdr>
                              <w:divsChild>
                                <w:div w:id="1599866003">
                                  <w:marLeft w:val="0"/>
                                  <w:marRight w:val="0"/>
                                  <w:marTop w:val="0"/>
                                  <w:marBottom w:val="0"/>
                                  <w:divBdr>
                                    <w:top w:val="none" w:sz="0" w:space="0" w:color="auto"/>
                                    <w:left w:val="none" w:sz="0" w:space="0" w:color="auto"/>
                                    <w:bottom w:val="none" w:sz="0" w:space="0" w:color="auto"/>
                                    <w:right w:val="none" w:sz="0" w:space="0" w:color="auto"/>
                                  </w:divBdr>
                                  <w:divsChild>
                                    <w:div w:id="725032474">
                                      <w:marLeft w:val="0"/>
                                      <w:marRight w:val="0"/>
                                      <w:marTop w:val="0"/>
                                      <w:marBottom w:val="0"/>
                                      <w:divBdr>
                                        <w:top w:val="none" w:sz="0" w:space="0" w:color="auto"/>
                                        <w:left w:val="none" w:sz="0" w:space="0" w:color="auto"/>
                                        <w:bottom w:val="none" w:sz="0" w:space="0" w:color="auto"/>
                                        <w:right w:val="none" w:sz="0" w:space="0" w:color="auto"/>
                                      </w:divBdr>
                                      <w:divsChild>
                                        <w:div w:id="650984500">
                                          <w:marLeft w:val="0"/>
                                          <w:marRight w:val="0"/>
                                          <w:marTop w:val="0"/>
                                          <w:marBottom w:val="0"/>
                                          <w:divBdr>
                                            <w:top w:val="none" w:sz="0" w:space="0" w:color="auto"/>
                                            <w:left w:val="none" w:sz="0" w:space="0" w:color="auto"/>
                                            <w:bottom w:val="none" w:sz="0" w:space="0" w:color="auto"/>
                                            <w:right w:val="none" w:sz="0" w:space="0" w:color="auto"/>
                                          </w:divBdr>
                                          <w:divsChild>
                                            <w:div w:id="1801922614">
                                              <w:marLeft w:val="0"/>
                                              <w:marRight w:val="0"/>
                                              <w:marTop w:val="0"/>
                                              <w:marBottom w:val="0"/>
                                              <w:divBdr>
                                                <w:top w:val="none" w:sz="0" w:space="0" w:color="auto"/>
                                                <w:left w:val="none" w:sz="0" w:space="0" w:color="auto"/>
                                                <w:bottom w:val="none" w:sz="0" w:space="0" w:color="auto"/>
                                                <w:right w:val="none" w:sz="0" w:space="0" w:color="auto"/>
                                              </w:divBdr>
                                              <w:divsChild>
                                                <w:div w:id="1838497469">
                                                  <w:marLeft w:val="0"/>
                                                  <w:marRight w:val="0"/>
                                                  <w:marTop w:val="0"/>
                                                  <w:marBottom w:val="0"/>
                                                  <w:divBdr>
                                                    <w:top w:val="none" w:sz="0" w:space="0" w:color="auto"/>
                                                    <w:left w:val="none" w:sz="0" w:space="0" w:color="auto"/>
                                                    <w:bottom w:val="none" w:sz="0" w:space="0" w:color="auto"/>
                                                    <w:right w:val="none" w:sz="0" w:space="0" w:color="auto"/>
                                                  </w:divBdr>
                                                  <w:divsChild>
                                                    <w:div w:id="183061018">
                                                      <w:marLeft w:val="0"/>
                                                      <w:marRight w:val="0"/>
                                                      <w:marTop w:val="0"/>
                                                      <w:marBottom w:val="0"/>
                                                      <w:divBdr>
                                                        <w:top w:val="none" w:sz="0" w:space="0" w:color="auto"/>
                                                        <w:left w:val="none" w:sz="0" w:space="0" w:color="auto"/>
                                                        <w:bottom w:val="none" w:sz="0" w:space="0" w:color="auto"/>
                                                        <w:right w:val="none" w:sz="0" w:space="0" w:color="auto"/>
                                                      </w:divBdr>
                                                      <w:divsChild>
                                                        <w:div w:id="443427706">
                                                          <w:marLeft w:val="0"/>
                                                          <w:marRight w:val="0"/>
                                                          <w:marTop w:val="0"/>
                                                          <w:marBottom w:val="0"/>
                                                          <w:divBdr>
                                                            <w:top w:val="none" w:sz="0" w:space="0" w:color="auto"/>
                                                            <w:left w:val="none" w:sz="0" w:space="0" w:color="auto"/>
                                                            <w:bottom w:val="none" w:sz="0" w:space="0" w:color="auto"/>
                                                            <w:right w:val="none" w:sz="0" w:space="0" w:color="auto"/>
                                                          </w:divBdr>
                                                          <w:divsChild>
                                                            <w:div w:id="1570187221">
                                                              <w:marLeft w:val="0"/>
                                                              <w:marRight w:val="0"/>
                                                              <w:marTop w:val="0"/>
                                                              <w:marBottom w:val="0"/>
                                                              <w:divBdr>
                                                                <w:top w:val="none" w:sz="0" w:space="0" w:color="auto"/>
                                                                <w:left w:val="none" w:sz="0" w:space="0" w:color="auto"/>
                                                                <w:bottom w:val="none" w:sz="0" w:space="0" w:color="auto"/>
                                                                <w:right w:val="none" w:sz="0" w:space="0" w:color="auto"/>
                                                              </w:divBdr>
                                                              <w:divsChild>
                                                                <w:div w:id="1593664371">
                                                                  <w:marLeft w:val="0"/>
                                                                  <w:marRight w:val="0"/>
                                                                  <w:marTop w:val="0"/>
                                                                  <w:marBottom w:val="0"/>
                                                                  <w:divBdr>
                                                                    <w:top w:val="none" w:sz="0" w:space="0" w:color="auto"/>
                                                                    <w:left w:val="none" w:sz="0" w:space="0" w:color="auto"/>
                                                                    <w:bottom w:val="none" w:sz="0" w:space="0" w:color="auto"/>
                                                                    <w:right w:val="none" w:sz="0" w:space="0" w:color="auto"/>
                                                                  </w:divBdr>
                                                                  <w:divsChild>
                                                                    <w:div w:id="7973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sChild>
                    <w:div w:id="1350569012">
                      <w:marLeft w:val="0"/>
                      <w:marRight w:val="0"/>
                      <w:marTop w:val="0"/>
                      <w:marBottom w:val="0"/>
                      <w:divBdr>
                        <w:top w:val="none" w:sz="0" w:space="0" w:color="auto"/>
                        <w:left w:val="none" w:sz="0" w:space="0" w:color="auto"/>
                        <w:bottom w:val="none" w:sz="0" w:space="0" w:color="auto"/>
                        <w:right w:val="none" w:sz="0" w:space="0" w:color="auto"/>
                      </w:divBdr>
                      <w:divsChild>
                        <w:div w:id="36467209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739522878">
                  <w:marLeft w:val="0"/>
                  <w:marRight w:val="0"/>
                  <w:marTop w:val="0"/>
                  <w:marBottom w:val="0"/>
                  <w:divBdr>
                    <w:top w:val="none" w:sz="0" w:space="0" w:color="auto"/>
                    <w:left w:val="none" w:sz="0" w:space="0" w:color="auto"/>
                    <w:bottom w:val="none" w:sz="0" w:space="0" w:color="auto"/>
                    <w:right w:val="none" w:sz="0" w:space="0" w:color="auto"/>
                  </w:divBdr>
                  <w:divsChild>
                    <w:div w:id="712653354">
                      <w:marLeft w:val="0"/>
                      <w:marRight w:val="0"/>
                      <w:marTop w:val="0"/>
                      <w:marBottom w:val="0"/>
                      <w:divBdr>
                        <w:top w:val="none" w:sz="0" w:space="0" w:color="auto"/>
                        <w:left w:val="none" w:sz="0" w:space="0" w:color="auto"/>
                        <w:bottom w:val="none" w:sz="0" w:space="0" w:color="auto"/>
                        <w:right w:val="none" w:sz="0" w:space="0" w:color="auto"/>
                      </w:divBdr>
                      <w:divsChild>
                        <w:div w:id="1858082648">
                          <w:marLeft w:val="0"/>
                          <w:marRight w:val="0"/>
                          <w:marTop w:val="0"/>
                          <w:marBottom w:val="0"/>
                          <w:divBdr>
                            <w:top w:val="none" w:sz="0" w:space="0" w:color="auto"/>
                            <w:left w:val="none" w:sz="0" w:space="0" w:color="auto"/>
                            <w:bottom w:val="none" w:sz="0" w:space="0" w:color="auto"/>
                            <w:right w:val="none" w:sz="0" w:space="0" w:color="auto"/>
                          </w:divBdr>
                          <w:divsChild>
                            <w:div w:id="1216357840">
                              <w:marLeft w:val="0"/>
                              <w:marRight w:val="0"/>
                              <w:marTop w:val="0"/>
                              <w:marBottom w:val="0"/>
                              <w:divBdr>
                                <w:top w:val="none" w:sz="0" w:space="0" w:color="auto"/>
                                <w:left w:val="none" w:sz="0" w:space="0" w:color="auto"/>
                                <w:bottom w:val="none" w:sz="0" w:space="0" w:color="auto"/>
                                <w:right w:val="none" w:sz="0" w:space="0" w:color="auto"/>
                              </w:divBdr>
                              <w:divsChild>
                                <w:div w:id="453016216">
                                  <w:marLeft w:val="0"/>
                                  <w:marRight w:val="0"/>
                                  <w:marTop w:val="0"/>
                                  <w:marBottom w:val="0"/>
                                  <w:divBdr>
                                    <w:top w:val="none" w:sz="0" w:space="0" w:color="auto"/>
                                    <w:left w:val="none" w:sz="0" w:space="0" w:color="auto"/>
                                    <w:bottom w:val="none" w:sz="0" w:space="0" w:color="auto"/>
                                    <w:right w:val="none" w:sz="0" w:space="0" w:color="auto"/>
                                  </w:divBdr>
                                  <w:divsChild>
                                    <w:div w:id="120458685">
                                      <w:marLeft w:val="0"/>
                                      <w:marRight w:val="0"/>
                                      <w:marTop w:val="0"/>
                                      <w:marBottom w:val="0"/>
                                      <w:divBdr>
                                        <w:top w:val="none" w:sz="0" w:space="0" w:color="auto"/>
                                        <w:left w:val="none" w:sz="0" w:space="0" w:color="auto"/>
                                        <w:bottom w:val="none" w:sz="0" w:space="0" w:color="auto"/>
                                        <w:right w:val="none" w:sz="0" w:space="0" w:color="auto"/>
                                      </w:divBdr>
                                      <w:divsChild>
                                        <w:div w:id="1567914726">
                                          <w:marLeft w:val="0"/>
                                          <w:marRight w:val="0"/>
                                          <w:marTop w:val="0"/>
                                          <w:marBottom w:val="0"/>
                                          <w:divBdr>
                                            <w:top w:val="none" w:sz="0" w:space="0" w:color="auto"/>
                                            <w:left w:val="none" w:sz="0" w:space="0" w:color="auto"/>
                                            <w:bottom w:val="none" w:sz="0" w:space="0" w:color="auto"/>
                                            <w:right w:val="none" w:sz="0" w:space="0" w:color="auto"/>
                                          </w:divBdr>
                                          <w:divsChild>
                                            <w:div w:id="230309728">
                                              <w:marLeft w:val="0"/>
                                              <w:marRight w:val="0"/>
                                              <w:marTop w:val="0"/>
                                              <w:marBottom w:val="0"/>
                                              <w:divBdr>
                                                <w:top w:val="none" w:sz="0" w:space="0" w:color="auto"/>
                                                <w:left w:val="none" w:sz="0" w:space="0" w:color="auto"/>
                                                <w:bottom w:val="none" w:sz="0" w:space="0" w:color="auto"/>
                                                <w:right w:val="none" w:sz="0" w:space="0" w:color="auto"/>
                                              </w:divBdr>
                                              <w:divsChild>
                                                <w:div w:id="766072511">
                                                  <w:marLeft w:val="0"/>
                                                  <w:marRight w:val="0"/>
                                                  <w:marTop w:val="0"/>
                                                  <w:marBottom w:val="0"/>
                                                  <w:divBdr>
                                                    <w:top w:val="none" w:sz="0" w:space="0" w:color="auto"/>
                                                    <w:left w:val="none" w:sz="0" w:space="0" w:color="auto"/>
                                                    <w:bottom w:val="none" w:sz="0" w:space="0" w:color="auto"/>
                                                    <w:right w:val="none" w:sz="0" w:space="0" w:color="auto"/>
                                                  </w:divBdr>
                                                  <w:divsChild>
                                                    <w:div w:id="11845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7899">
                              <w:marLeft w:val="0"/>
                              <w:marRight w:val="0"/>
                              <w:marTop w:val="0"/>
                              <w:marBottom w:val="0"/>
                              <w:divBdr>
                                <w:top w:val="none" w:sz="0" w:space="0" w:color="auto"/>
                                <w:left w:val="none" w:sz="0" w:space="0" w:color="auto"/>
                                <w:bottom w:val="none" w:sz="0" w:space="0" w:color="auto"/>
                                <w:right w:val="none" w:sz="0" w:space="0" w:color="auto"/>
                              </w:divBdr>
                              <w:divsChild>
                                <w:div w:id="276790336">
                                  <w:marLeft w:val="0"/>
                                  <w:marRight w:val="0"/>
                                  <w:marTop w:val="0"/>
                                  <w:marBottom w:val="0"/>
                                  <w:divBdr>
                                    <w:top w:val="none" w:sz="0" w:space="0" w:color="auto"/>
                                    <w:left w:val="none" w:sz="0" w:space="0" w:color="auto"/>
                                    <w:bottom w:val="none" w:sz="0" w:space="0" w:color="auto"/>
                                    <w:right w:val="none" w:sz="0" w:space="0" w:color="auto"/>
                                  </w:divBdr>
                                  <w:divsChild>
                                    <w:div w:id="432554689">
                                      <w:marLeft w:val="0"/>
                                      <w:marRight w:val="0"/>
                                      <w:marTop w:val="0"/>
                                      <w:marBottom w:val="0"/>
                                      <w:divBdr>
                                        <w:top w:val="none" w:sz="0" w:space="0" w:color="auto"/>
                                        <w:left w:val="none" w:sz="0" w:space="0" w:color="auto"/>
                                        <w:bottom w:val="none" w:sz="0" w:space="0" w:color="auto"/>
                                        <w:right w:val="none" w:sz="0" w:space="0" w:color="auto"/>
                                      </w:divBdr>
                                      <w:divsChild>
                                        <w:div w:id="309361019">
                                          <w:marLeft w:val="0"/>
                                          <w:marRight w:val="0"/>
                                          <w:marTop w:val="0"/>
                                          <w:marBottom w:val="0"/>
                                          <w:divBdr>
                                            <w:top w:val="none" w:sz="0" w:space="0" w:color="auto"/>
                                            <w:left w:val="none" w:sz="0" w:space="0" w:color="auto"/>
                                            <w:bottom w:val="none" w:sz="0" w:space="0" w:color="auto"/>
                                            <w:right w:val="none" w:sz="0" w:space="0" w:color="auto"/>
                                          </w:divBdr>
                                          <w:divsChild>
                                            <w:div w:id="2071879921">
                                              <w:marLeft w:val="0"/>
                                              <w:marRight w:val="0"/>
                                              <w:marTop w:val="0"/>
                                              <w:marBottom w:val="0"/>
                                              <w:divBdr>
                                                <w:top w:val="none" w:sz="0" w:space="0" w:color="auto"/>
                                                <w:left w:val="none" w:sz="0" w:space="0" w:color="auto"/>
                                                <w:bottom w:val="none" w:sz="0" w:space="0" w:color="auto"/>
                                                <w:right w:val="none" w:sz="0" w:space="0" w:color="auto"/>
                                              </w:divBdr>
                                              <w:divsChild>
                                                <w:div w:id="1070956296">
                                                  <w:marLeft w:val="0"/>
                                                  <w:marRight w:val="0"/>
                                                  <w:marTop w:val="0"/>
                                                  <w:marBottom w:val="0"/>
                                                  <w:divBdr>
                                                    <w:top w:val="none" w:sz="0" w:space="0" w:color="auto"/>
                                                    <w:left w:val="none" w:sz="0" w:space="0" w:color="auto"/>
                                                    <w:bottom w:val="none" w:sz="0" w:space="0" w:color="auto"/>
                                                    <w:right w:val="none" w:sz="0" w:space="0" w:color="auto"/>
                                                  </w:divBdr>
                                                  <w:divsChild>
                                                    <w:div w:id="916743183">
                                                      <w:marLeft w:val="0"/>
                                                      <w:marRight w:val="0"/>
                                                      <w:marTop w:val="0"/>
                                                      <w:marBottom w:val="0"/>
                                                      <w:divBdr>
                                                        <w:top w:val="none" w:sz="0" w:space="0" w:color="auto"/>
                                                        <w:left w:val="none" w:sz="0" w:space="0" w:color="auto"/>
                                                        <w:bottom w:val="none" w:sz="0" w:space="0" w:color="auto"/>
                                                        <w:right w:val="none" w:sz="0" w:space="0" w:color="auto"/>
                                                      </w:divBdr>
                                                      <w:divsChild>
                                                        <w:div w:id="4106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97168">
                              <w:marLeft w:val="0"/>
                              <w:marRight w:val="0"/>
                              <w:marTop w:val="0"/>
                              <w:marBottom w:val="0"/>
                              <w:divBdr>
                                <w:top w:val="none" w:sz="0" w:space="0" w:color="auto"/>
                                <w:left w:val="none" w:sz="0" w:space="0" w:color="auto"/>
                                <w:bottom w:val="none" w:sz="0" w:space="0" w:color="auto"/>
                                <w:right w:val="none" w:sz="0" w:space="0" w:color="auto"/>
                              </w:divBdr>
                              <w:divsChild>
                                <w:div w:id="917401518">
                                  <w:marLeft w:val="0"/>
                                  <w:marRight w:val="0"/>
                                  <w:marTop w:val="0"/>
                                  <w:marBottom w:val="0"/>
                                  <w:divBdr>
                                    <w:top w:val="none" w:sz="0" w:space="0" w:color="auto"/>
                                    <w:left w:val="none" w:sz="0" w:space="0" w:color="auto"/>
                                    <w:bottom w:val="none" w:sz="0" w:space="0" w:color="auto"/>
                                    <w:right w:val="none" w:sz="0" w:space="0" w:color="auto"/>
                                  </w:divBdr>
                                  <w:divsChild>
                                    <w:div w:id="149909433">
                                      <w:marLeft w:val="0"/>
                                      <w:marRight w:val="0"/>
                                      <w:marTop w:val="0"/>
                                      <w:marBottom w:val="0"/>
                                      <w:divBdr>
                                        <w:top w:val="none" w:sz="0" w:space="0" w:color="auto"/>
                                        <w:left w:val="none" w:sz="0" w:space="0" w:color="auto"/>
                                        <w:bottom w:val="none" w:sz="0" w:space="0" w:color="auto"/>
                                        <w:right w:val="none" w:sz="0" w:space="0" w:color="auto"/>
                                      </w:divBdr>
                                      <w:divsChild>
                                        <w:div w:id="1935672657">
                                          <w:marLeft w:val="0"/>
                                          <w:marRight w:val="0"/>
                                          <w:marTop w:val="0"/>
                                          <w:marBottom w:val="0"/>
                                          <w:divBdr>
                                            <w:top w:val="none" w:sz="0" w:space="0" w:color="auto"/>
                                            <w:left w:val="none" w:sz="0" w:space="0" w:color="auto"/>
                                            <w:bottom w:val="none" w:sz="0" w:space="0" w:color="auto"/>
                                            <w:right w:val="none" w:sz="0" w:space="0" w:color="auto"/>
                                          </w:divBdr>
                                          <w:divsChild>
                                            <w:div w:id="2137677356">
                                              <w:marLeft w:val="0"/>
                                              <w:marRight w:val="0"/>
                                              <w:marTop w:val="0"/>
                                              <w:marBottom w:val="0"/>
                                              <w:divBdr>
                                                <w:top w:val="none" w:sz="0" w:space="0" w:color="auto"/>
                                                <w:left w:val="none" w:sz="0" w:space="0" w:color="auto"/>
                                                <w:bottom w:val="none" w:sz="0" w:space="0" w:color="auto"/>
                                                <w:right w:val="none" w:sz="0" w:space="0" w:color="auto"/>
                                              </w:divBdr>
                                              <w:divsChild>
                                                <w:div w:id="357245174">
                                                  <w:marLeft w:val="0"/>
                                                  <w:marRight w:val="0"/>
                                                  <w:marTop w:val="0"/>
                                                  <w:marBottom w:val="0"/>
                                                  <w:divBdr>
                                                    <w:top w:val="none" w:sz="0" w:space="0" w:color="auto"/>
                                                    <w:left w:val="none" w:sz="0" w:space="0" w:color="auto"/>
                                                    <w:bottom w:val="none" w:sz="0" w:space="0" w:color="auto"/>
                                                    <w:right w:val="none" w:sz="0" w:space="0" w:color="auto"/>
                                                  </w:divBdr>
                                                  <w:divsChild>
                                                    <w:div w:id="6038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4394">
                              <w:marLeft w:val="0"/>
                              <w:marRight w:val="0"/>
                              <w:marTop w:val="0"/>
                              <w:marBottom w:val="0"/>
                              <w:divBdr>
                                <w:top w:val="none" w:sz="0" w:space="0" w:color="auto"/>
                                <w:left w:val="none" w:sz="0" w:space="0" w:color="auto"/>
                                <w:bottom w:val="none" w:sz="0" w:space="0" w:color="auto"/>
                                <w:right w:val="none" w:sz="0" w:space="0" w:color="auto"/>
                              </w:divBdr>
                              <w:divsChild>
                                <w:div w:id="685983201">
                                  <w:marLeft w:val="0"/>
                                  <w:marRight w:val="0"/>
                                  <w:marTop w:val="0"/>
                                  <w:marBottom w:val="0"/>
                                  <w:divBdr>
                                    <w:top w:val="none" w:sz="0" w:space="0" w:color="auto"/>
                                    <w:left w:val="none" w:sz="0" w:space="0" w:color="auto"/>
                                    <w:bottom w:val="none" w:sz="0" w:space="0" w:color="auto"/>
                                    <w:right w:val="none" w:sz="0" w:space="0" w:color="auto"/>
                                  </w:divBdr>
                                  <w:divsChild>
                                    <w:div w:id="124661974">
                                      <w:marLeft w:val="0"/>
                                      <w:marRight w:val="0"/>
                                      <w:marTop w:val="0"/>
                                      <w:marBottom w:val="0"/>
                                      <w:divBdr>
                                        <w:top w:val="none" w:sz="0" w:space="0" w:color="auto"/>
                                        <w:left w:val="none" w:sz="0" w:space="0" w:color="auto"/>
                                        <w:bottom w:val="none" w:sz="0" w:space="0" w:color="auto"/>
                                        <w:right w:val="none" w:sz="0" w:space="0" w:color="auto"/>
                                      </w:divBdr>
                                      <w:divsChild>
                                        <w:div w:id="1148471558">
                                          <w:marLeft w:val="0"/>
                                          <w:marRight w:val="0"/>
                                          <w:marTop w:val="0"/>
                                          <w:marBottom w:val="0"/>
                                          <w:divBdr>
                                            <w:top w:val="none" w:sz="0" w:space="0" w:color="auto"/>
                                            <w:left w:val="none" w:sz="0" w:space="0" w:color="auto"/>
                                            <w:bottom w:val="none" w:sz="0" w:space="0" w:color="auto"/>
                                            <w:right w:val="none" w:sz="0" w:space="0" w:color="auto"/>
                                          </w:divBdr>
                                          <w:divsChild>
                                            <w:div w:id="449251714">
                                              <w:marLeft w:val="0"/>
                                              <w:marRight w:val="0"/>
                                              <w:marTop w:val="0"/>
                                              <w:marBottom w:val="0"/>
                                              <w:divBdr>
                                                <w:top w:val="none" w:sz="0" w:space="0" w:color="auto"/>
                                                <w:left w:val="none" w:sz="0" w:space="0" w:color="auto"/>
                                                <w:bottom w:val="none" w:sz="0" w:space="0" w:color="auto"/>
                                                <w:right w:val="none" w:sz="0" w:space="0" w:color="auto"/>
                                              </w:divBdr>
                                              <w:divsChild>
                                                <w:div w:id="2085103276">
                                                  <w:marLeft w:val="0"/>
                                                  <w:marRight w:val="0"/>
                                                  <w:marTop w:val="0"/>
                                                  <w:marBottom w:val="0"/>
                                                  <w:divBdr>
                                                    <w:top w:val="none" w:sz="0" w:space="0" w:color="auto"/>
                                                    <w:left w:val="none" w:sz="0" w:space="0" w:color="auto"/>
                                                    <w:bottom w:val="none" w:sz="0" w:space="0" w:color="auto"/>
                                                    <w:right w:val="none" w:sz="0" w:space="0" w:color="auto"/>
                                                  </w:divBdr>
                                                  <w:divsChild>
                                                    <w:div w:id="17376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354">
                              <w:marLeft w:val="0"/>
                              <w:marRight w:val="0"/>
                              <w:marTop w:val="0"/>
                              <w:marBottom w:val="0"/>
                              <w:divBdr>
                                <w:top w:val="none" w:sz="0" w:space="0" w:color="auto"/>
                                <w:left w:val="none" w:sz="0" w:space="0" w:color="auto"/>
                                <w:bottom w:val="none" w:sz="0" w:space="0" w:color="auto"/>
                                <w:right w:val="none" w:sz="0" w:space="0" w:color="auto"/>
                              </w:divBdr>
                              <w:divsChild>
                                <w:div w:id="1908302872">
                                  <w:marLeft w:val="0"/>
                                  <w:marRight w:val="0"/>
                                  <w:marTop w:val="0"/>
                                  <w:marBottom w:val="0"/>
                                  <w:divBdr>
                                    <w:top w:val="none" w:sz="0" w:space="0" w:color="auto"/>
                                    <w:left w:val="none" w:sz="0" w:space="0" w:color="auto"/>
                                    <w:bottom w:val="none" w:sz="0" w:space="0" w:color="auto"/>
                                    <w:right w:val="none" w:sz="0" w:space="0" w:color="auto"/>
                                  </w:divBdr>
                                  <w:divsChild>
                                    <w:div w:id="264653148">
                                      <w:marLeft w:val="0"/>
                                      <w:marRight w:val="0"/>
                                      <w:marTop w:val="0"/>
                                      <w:marBottom w:val="0"/>
                                      <w:divBdr>
                                        <w:top w:val="none" w:sz="0" w:space="0" w:color="auto"/>
                                        <w:left w:val="none" w:sz="0" w:space="0" w:color="auto"/>
                                        <w:bottom w:val="none" w:sz="0" w:space="0" w:color="auto"/>
                                        <w:right w:val="none" w:sz="0" w:space="0" w:color="auto"/>
                                      </w:divBdr>
                                      <w:divsChild>
                                        <w:div w:id="1274704361">
                                          <w:marLeft w:val="0"/>
                                          <w:marRight w:val="0"/>
                                          <w:marTop w:val="0"/>
                                          <w:marBottom w:val="0"/>
                                          <w:divBdr>
                                            <w:top w:val="none" w:sz="0" w:space="0" w:color="auto"/>
                                            <w:left w:val="none" w:sz="0" w:space="0" w:color="auto"/>
                                            <w:bottom w:val="none" w:sz="0" w:space="0" w:color="auto"/>
                                            <w:right w:val="none" w:sz="0" w:space="0" w:color="auto"/>
                                          </w:divBdr>
                                          <w:divsChild>
                                            <w:div w:id="1925989022">
                                              <w:marLeft w:val="0"/>
                                              <w:marRight w:val="0"/>
                                              <w:marTop w:val="0"/>
                                              <w:marBottom w:val="0"/>
                                              <w:divBdr>
                                                <w:top w:val="none" w:sz="0" w:space="0" w:color="auto"/>
                                                <w:left w:val="none" w:sz="0" w:space="0" w:color="auto"/>
                                                <w:bottom w:val="none" w:sz="0" w:space="0" w:color="auto"/>
                                                <w:right w:val="none" w:sz="0" w:space="0" w:color="auto"/>
                                              </w:divBdr>
                                              <w:divsChild>
                                                <w:div w:id="428620270">
                                                  <w:marLeft w:val="0"/>
                                                  <w:marRight w:val="0"/>
                                                  <w:marTop w:val="0"/>
                                                  <w:marBottom w:val="0"/>
                                                  <w:divBdr>
                                                    <w:top w:val="none" w:sz="0" w:space="0" w:color="auto"/>
                                                    <w:left w:val="none" w:sz="0" w:space="0" w:color="auto"/>
                                                    <w:bottom w:val="none" w:sz="0" w:space="0" w:color="auto"/>
                                                    <w:right w:val="none" w:sz="0" w:space="0" w:color="auto"/>
                                                  </w:divBdr>
                                                  <w:divsChild>
                                                    <w:div w:id="10495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941285">
      <w:bodyDiv w:val="1"/>
      <w:marLeft w:val="0"/>
      <w:marRight w:val="0"/>
      <w:marTop w:val="0"/>
      <w:marBottom w:val="0"/>
      <w:divBdr>
        <w:top w:val="none" w:sz="0" w:space="0" w:color="auto"/>
        <w:left w:val="none" w:sz="0" w:space="0" w:color="auto"/>
        <w:bottom w:val="none" w:sz="0" w:space="0" w:color="auto"/>
        <w:right w:val="none" w:sz="0" w:space="0" w:color="auto"/>
      </w:divBdr>
      <w:divsChild>
        <w:div w:id="540020541">
          <w:marLeft w:val="0"/>
          <w:marRight w:val="0"/>
          <w:marTop w:val="0"/>
          <w:marBottom w:val="0"/>
          <w:divBdr>
            <w:top w:val="none" w:sz="0" w:space="0" w:color="auto"/>
            <w:left w:val="none" w:sz="0" w:space="0" w:color="auto"/>
            <w:bottom w:val="none" w:sz="0" w:space="0" w:color="auto"/>
            <w:right w:val="none" w:sz="0" w:space="0" w:color="auto"/>
          </w:divBdr>
        </w:div>
        <w:div w:id="5153125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2020-01-05T18:39:00Z</dcterms:created>
  <dcterms:modified xsi:type="dcterms:W3CDTF">2020-01-05T18:39:00Z</dcterms:modified>
</cp:coreProperties>
</file>