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22C411EE" w:rsidP="140E7B79" w:rsidRDefault="22C411EE" w14:paraId="15C442CE" w14:textId="671F05D6">
      <w:pPr>
        <w:jc w:val="center"/>
        <w:rPr>
          <w:b w:val="1"/>
          <w:bCs w:val="1"/>
          <w:sz w:val="32"/>
          <w:szCs w:val="32"/>
        </w:rPr>
      </w:pPr>
      <w:r w:rsidRPr="140E7B79" w:rsidR="22C411EE">
        <w:rPr>
          <w:b w:val="1"/>
          <w:bCs w:val="1"/>
          <w:sz w:val="32"/>
          <w:szCs w:val="32"/>
        </w:rPr>
        <w:t xml:space="preserve">ALS 3205 Buffering Agents </w:t>
      </w:r>
      <w:r w:rsidRPr="140E7B79" w:rsidR="22C411EE">
        <w:rPr>
          <w:b w:val="1"/>
          <w:bCs w:val="1"/>
          <w:sz w:val="32"/>
          <w:szCs w:val="32"/>
        </w:rPr>
        <w:t>For</w:t>
      </w:r>
      <w:r w:rsidRPr="140E7B79" w:rsidR="22C411EE">
        <w:rPr>
          <w:b w:val="1"/>
          <w:bCs w:val="1"/>
          <w:sz w:val="32"/>
          <w:szCs w:val="32"/>
        </w:rPr>
        <w:t xml:space="preserve"> Cardiac Arrest (IHCA)</w:t>
      </w:r>
    </w:p>
    <w:p w:rsidR="22C411EE" w:rsidP="140E7B79" w:rsidRDefault="22C411EE" w14:paraId="2DB1B30E" w14:textId="784962F7">
      <w:pPr>
        <w:jc w:val="center"/>
        <w:rPr>
          <w:b w:val="1"/>
          <w:bCs w:val="1"/>
          <w:sz w:val="32"/>
          <w:szCs w:val="32"/>
        </w:rPr>
      </w:pPr>
      <w:r w:rsidRPr="140E7B79" w:rsidR="22C411EE">
        <w:rPr>
          <w:b w:val="1"/>
          <w:bCs w:val="1"/>
          <w:sz w:val="32"/>
          <w:szCs w:val="32"/>
        </w:rPr>
        <w:t>Evidence to Decision Table (</w:t>
      </w:r>
      <w:r w:rsidRPr="140E7B79" w:rsidR="22C411EE">
        <w:rPr>
          <w:b w:val="1"/>
          <w:bCs w:val="1"/>
          <w:sz w:val="32"/>
          <w:szCs w:val="32"/>
        </w:rPr>
        <w:t>EtD</w:t>
      </w:r>
      <w:r w:rsidRPr="140E7B79" w:rsidR="22C411EE">
        <w:rPr>
          <w:b w:val="1"/>
          <w:bCs w:val="1"/>
          <w:sz w:val="32"/>
          <w:szCs w:val="32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3"/>
        <w:gridCol w:w="9307"/>
      </w:tblGrid>
      <w:tr w:rsidRPr="0026678E" w:rsidR="00E26F63" w:rsidTr="0026678E" w14:paraId="6A16557D" w14:textId="77777777">
        <w:trPr>
          <w:divId w:val="673268942"/>
        </w:trPr>
        <w:tc>
          <w:tcPr>
            <w:tcW w:w="5000" w:type="pct"/>
            <w:gridSpan w:val="2"/>
            <w:tcBorders>
              <w:bottom w:val="single" w:color="2E74B5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Pr="0026678E" w:rsidR="00E26F63" w:rsidRDefault="00000000" w14:paraId="415B63F4" w14:textId="77777777">
            <w:pPr>
              <w:pStyle w:val="Heading1"/>
              <w:spacing w:after="2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  <w14:ligatures w14:val="none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Question</w:t>
            </w:r>
          </w:p>
        </w:tc>
      </w:tr>
      <w:tr w:rsidRPr="0026678E" w:rsidR="00E26F63" w:rsidTr="0026678E" w14:paraId="5D21B6F1" w14:textId="77777777">
        <w:trPr>
          <w:divId w:val="673268942"/>
        </w:trPr>
        <w:tc>
          <w:tcPr>
            <w:tcW w:w="5000" w:type="pct"/>
            <w:gridSpan w:val="2"/>
            <w:tcBorders>
              <w:bottom w:val="single" w:color="2E74B5" w:sz="6" w:space="0"/>
              <w:right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75DA920B" w14:textId="61C90B77">
            <w:pPr>
              <w:pStyle w:val="NormalWeb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Should </w:t>
            </w:r>
            <w:r w:rsidRPr="0026678E" w:rsidR="00DB2D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buffering agents be used for </w:t>
            </w:r>
            <w:r w:rsidR="00FA272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in</w:t>
            </w:r>
            <w:r w:rsidRPr="0026678E" w:rsidR="00DB2D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-hospital cardiac arrest</w:t>
            </w:r>
            <w:r w:rsidRPr="0026678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?</w:t>
            </w:r>
          </w:p>
        </w:tc>
      </w:tr>
      <w:tr w:rsidRPr="0026678E" w:rsidR="00E26F63" w:rsidTr="0026678E" w14:paraId="2EA120BD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71741AA2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Population: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DB2D3C" w14:paraId="0E2EA5F3" w14:textId="0689E39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6678E">
              <w:rPr>
                <w:rFonts w:ascii="Calibri" w:hAnsi="Calibri" w:cs="Calibri"/>
                <w:sz w:val="20"/>
                <w:szCs w:val="20"/>
              </w:rPr>
              <w:t>Adults with cardiac arrest</w:t>
            </w:r>
          </w:p>
        </w:tc>
      </w:tr>
      <w:tr w:rsidRPr="0026678E" w:rsidR="00E26F63" w:rsidTr="0026678E" w14:paraId="5F777E1B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7671B4BE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Intervention: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DB2D3C" w14:paraId="032FE52C" w14:textId="2D8C6A2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Cs/>
                <w:sz w:val="20"/>
                <w:szCs w:val="20"/>
              </w:rPr>
              <w:t>The administration of buffering agents during cardiopulmonary resuscitation</w:t>
            </w:r>
          </w:p>
        </w:tc>
      </w:tr>
      <w:tr w:rsidRPr="0026678E" w:rsidR="00E26F63" w:rsidTr="0026678E" w14:paraId="760236A9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62DC9B3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Comparison: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DB2D3C" w14:paraId="259F941F" w14:textId="402160B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6678E">
              <w:rPr>
                <w:rFonts w:ascii="Calibri" w:hAnsi="Calibri" w:cs="Calibri"/>
                <w:sz w:val="20"/>
                <w:szCs w:val="20"/>
              </w:rPr>
              <w:t>The use of placebo, no buffering agent, or another buffering agent during cardiopulmonary resuscitation</w:t>
            </w:r>
          </w:p>
        </w:tc>
      </w:tr>
      <w:tr w:rsidRPr="0026678E" w:rsidR="00E26F63" w:rsidTr="0026678E" w14:paraId="4B96D973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DF7E396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Main outcomes: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DB2D3C" w14:paraId="39E2C470" w14:textId="244E8E52">
            <w:pPr>
              <w:spacing w:after="0" w:line="240" w:lineRule="auto"/>
              <w:divId w:val="379475084"/>
              <w:rPr>
                <w:rFonts w:ascii="Calibri" w:hAnsi="Calibri" w:cs="Calibri"/>
                <w:sz w:val="20"/>
                <w:szCs w:val="20"/>
              </w:rPr>
            </w:pPr>
            <w:r w:rsidRPr="0026678E">
              <w:rPr>
                <w:rFonts w:ascii="Calibri" w:hAnsi="Calibri" w:cs="Calibri"/>
                <w:sz w:val="20"/>
                <w:szCs w:val="20"/>
              </w:rPr>
              <w:t>Return of spontaneous circulation; survival at hospital admission; survival at hospital discharge, 30 days, or subsequent time points; survival with a favorable neurological outcome at hospital discharge, 30 days, or subsequent time points; health-related quality of life</w:t>
            </w:r>
          </w:p>
        </w:tc>
      </w:tr>
      <w:tr w:rsidRPr="0026678E" w:rsidR="00E26F63" w:rsidTr="0026678E" w14:paraId="4D9E1C25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7520E5AB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Setting: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0277C9" w14:paraId="0A17C99C" w14:textId="0BEF130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</w:t>
            </w:r>
            <w:r w:rsidRPr="0026678E" w:rsidR="00DB2D3C">
              <w:rPr>
                <w:rFonts w:ascii="Calibri" w:hAnsi="Calibri" w:cs="Calibri"/>
                <w:sz w:val="20"/>
                <w:szCs w:val="20"/>
              </w:rPr>
              <w:t>-hospital</w:t>
            </w:r>
          </w:p>
        </w:tc>
      </w:tr>
      <w:tr w:rsidRPr="0026678E" w:rsidR="00E26F63" w:rsidTr="0026678E" w14:paraId="6427F173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5AA934E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Perspective: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E26F63" w14:paraId="3BE1E556" w14:textId="77777777">
            <w:pPr>
              <w:spacing w:after="0" w:line="240" w:lineRule="auto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</w:p>
        </w:tc>
      </w:tr>
      <w:tr w:rsidRPr="0026678E" w:rsidR="00E26F63" w:rsidTr="0026678E" w14:paraId="48AE6322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B66C77B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Background: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000000" w14:paraId="60FF9971" w14:textId="77777777">
            <w:pPr>
              <w:spacing w:after="0" w:line="240" w:lineRule="auto"/>
              <w:divId w:val="1623685399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</w:p>
        </w:tc>
      </w:tr>
      <w:tr w:rsidRPr="0026678E" w:rsidR="00E26F63" w:rsidTr="0026678E" w14:paraId="74B91F3E" w14:textId="77777777">
        <w:trPr>
          <w:divId w:val="673268942"/>
        </w:trPr>
        <w:tc>
          <w:tcPr>
            <w:tcW w:w="691" w:type="pct"/>
            <w:tcBorders>
              <w:bottom w:val="single" w:color="2E74B5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51DFC72" w14:textId="77777777">
            <w:pPr>
              <w:pStyle w:val="section-name"/>
              <w:spacing w:before="0" w:beforeAutospacing="0" w:after="0" w:afterAutospacing="0" w:line="240" w:lineRule="atLeast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Conflict of interests:</w:t>
            </w:r>
          </w:p>
        </w:tc>
        <w:tc>
          <w:tcPr>
            <w:tcW w:w="4309" w:type="pct"/>
            <w:tcBorders>
              <w:bottom w:val="single" w:color="2E74B5" w:sz="6" w:space="0"/>
              <w:right w:val="single" w:color="2E74B5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P="00DB2D3C" w:rsidRDefault="00B02896" w14:paraId="4A6A8D3C" w14:textId="1F6EBBE4">
            <w:pPr>
              <w:spacing w:after="0" w:line="240" w:lineRule="auto"/>
              <w:divId w:val="134221126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The following Task Force members and other authors declared an intellectual conflict of interest and this was acknowledged and managed by the Task Force Chairs and Conflict of Interest committe</w:t>
            </w:r>
            <w:r w:rsidR="00BA757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s: </w:t>
            </w:r>
            <w:r w:rsidRPr="0026678E" w:rsidR="00DB2D3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Mathias J. Holmberg and Asger Granfeldt are both authors on the Bicarbonate For In-Hospital Cardiac Arrest (BIHCA) trial and did not participate in risk of bias assessments for that trial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Pr="0026678E" w:rsidR="00E26F63" w:rsidRDefault="00000000" w14:paraId="7CF095AA" w14:textId="77777777">
      <w:pPr>
        <w:pStyle w:val="Heading1"/>
        <w:spacing w:after="20" w:afterAutospacing="0"/>
        <w:divId w:val="409737644"/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</w:pPr>
      <w:r w:rsidRPr="0026678E"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  <w:t>Assessment</w:t>
      </w:r>
    </w:p>
    <w:tbl>
      <w:tblPr>
        <w:tblW w:w="5000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1"/>
        <w:gridCol w:w="4001"/>
        <w:gridCol w:w="5590"/>
      </w:tblGrid>
      <w:tr w:rsidRPr="0026678E" w:rsidR="00E26F63" w:rsidTr="006D0722" w14:paraId="09C9CF7E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34AA9C9C" w14:textId="77777777">
            <w:pPr>
              <w:pStyle w:val="Heading2"/>
              <w:spacing w:before="0" w:beforeAutospacing="0" w:after="0" w:afterAutospacing="0" w:line="240" w:lineRule="atLeast"/>
              <w:divId w:val="894389991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Problem</w:t>
            </w:r>
          </w:p>
          <w:p w:rsidRPr="0026678E" w:rsidR="00E26F63" w:rsidRDefault="00000000" w14:paraId="1046DE46" w14:textId="77777777">
            <w:pPr>
              <w:pStyle w:val="Subtitle1"/>
              <w:spacing w:before="0" w:beforeAutospacing="0" w:after="0" w:afterAutospacing="0" w:line="240" w:lineRule="atLeast"/>
              <w:divId w:val="894389991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Is the problem a priority?</w:t>
            </w:r>
          </w:p>
        </w:tc>
      </w:tr>
      <w:tr w:rsidRPr="0026678E" w:rsidR="00E26F63" w:rsidTr="006D0722" w14:paraId="5460D093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1E29C0C2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2D49DDB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71B8AA0E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10683" w14:paraId="05C0870E" w14:textId="77777777">
        <w:trPr>
          <w:divId w:val="409737644"/>
          <w:trHeight w:val="1170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212E6A0D" w14:textId="4A8669E4">
            <w:pPr>
              <w:spacing w:line="240" w:lineRule="atLeast"/>
              <w:divId w:val="150568022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No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no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yes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Yes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Varies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Don't know</w:t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DB2D3C" w14:paraId="0CA7359D" w14:textId="734FFB81">
            <w:pPr>
              <w:spacing w:line="240" w:lineRule="atLeast"/>
              <w:divId w:val="1961570051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Buffering agents, particularly sodium bicarbonate, are frequently administered during cardiac arrest despite guidelines recommending against routine use.</w:t>
            </w:r>
          </w:p>
        </w:tc>
      </w:tr>
      <w:tr w:rsidRPr="0026678E" w:rsidR="00E26F63" w:rsidTr="006D0722" w14:paraId="404F3C63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609CE58" w14:textId="77777777">
            <w:pPr>
              <w:pStyle w:val="Heading2"/>
              <w:spacing w:before="0" w:beforeAutospacing="0" w:after="0" w:afterAutospacing="0" w:line="240" w:lineRule="atLeast"/>
              <w:divId w:val="261499131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Desirable Effects</w:t>
            </w:r>
          </w:p>
          <w:p w:rsidRPr="0026678E" w:rsidR="00E26F63" w:rsidRDefault="00000000" w14:paraId="013DF0E5" w14:textId="77777777">
            <w:pPr>
              <w:pStyle w:val="Subtitle1"/>
              <w:spacing w:before="0" w:beforeAutospacing="0" w:after="0" w:afterAutospacing="0" w:line="240" w:lineRule="atLeast"/>
              <w:divId w:val="261499131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How substantial are the desirable anticipated effects?</w:t>
            </w:r>
          </w:p>
        </w:tc>
      </w:tr>
      <w:tr w:rsidRPr="0026678E" w:rsidR="00E26F63" w:rsidTr="006D0722" w14:paraId="04DB0B96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3ACC6879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ED0CC56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3B3BEC0A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D0722" w14:paraId="429CD433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DB2D3C" w14:paraId="625825B3" w14:textId="358F0382">
            <w:pPr>
              <w:spacing w:line="240" w:lineRule="atLeast"/>
              <w:divId w:val="1533499882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Trivial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Small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Moderate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 xml:space="preserve">○ 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Large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Varies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Don't know</w:t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F63" w:rsidRDefault="009F0E04" w14:paraId="5204B8EA" w14:textId="5C21F02F">
            <w:pPr>
              <w:spacing w:line="240" w:lineRule="atLeast"/>
              <w:divId w:val="1546215960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sz w:val="20"/>
                <w:szCs w:val="20"/>
              </w:rPr>
              <w:t>One trial found no significant differe</w:t>
            </w:r>
            <w:r w:rsidRPr="001B30D0">
              <w:rPr>
                <w:rFonts w:ascii="Calibri" w:hAnsi="Calibri" w:eastAsia="Times New Roman" w:cs="Calibri"/>
                <w:sz w:val="20"/>
                <w:szCs w:val="20"/>
              </w:rPr>
              <w:t>nce</w:t>
            </w:r>
            <w:r w:rsidR="007A1630">
              <w:rPr>
                <w:rFonts w:ascii="Calibri" w:hAnsi="Calibri" w:eastAsia="Times New Roman" w:cs="Calibri"/>
                <w:sz w:val="20"/>
                <w:szCs w:val="20"/>
              </w:rPr>
              <w:t>s</w:t>
            </w:r>
            <w:r w:rsidRPr="001B30D0">
              <w:rPr>
                <w:rFonts w:ascii="Calibri" w:hAnsi="Calibri" w:eastAsia="Times New Roman" w:cs="Calibri"/>
                <w:sz w:val="20"/>
                <w:szCs w:val="20"/>
              </w:rPr>
              <w:t xml:space="preserve"> in outcomes.</w:t>
            </w:r>
          </w:p>
          <w:p w:rsidRPr="001B30D0" w:rsidR="009F0E04" w:rsidRDefault="00833C50" w14:paraId="145C6AF6" w14:textId="016A5CE8">
            <w:pPr>
              <w:spacing w:line="240" w:lineRule="atLeast"/>
              <w:divId w:val="1546215960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B30D0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687AD598" wp14:editId="60429384">
                  <wp:extent cx="5585148" cy="1346759"/>
                  <wp:effectExtent l="0" t="0" r="3175" b="0"/>
                  <wp:docPr id="407827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8279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6170" cy="135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26678E" w:rsidR="000C6435" w:rsidRDefault="00833C50" w14:paraId="6AAB244F" w14:textId="4F21D77C">
            <w:pPr>
              <w:spacing w:line="240" w:lineRule="atLeast"/>
              <w:divId w:val="1546215960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5A6FD1">
              <w:rPr>
                <w:rFonts w:ascii="Calibri" w:hAnsi="Calibri" w:cs="Calibri"/>
                <w:sz w:val="20"/>
                <w:szCs w:val="20"/>
              </w:rPr>
              <w:t>Forest plot of the trial by Granfeldt et al (2026)</w:t>
            </w:r>
            <w:r w:rsidR="005B4C31">
              <w:rPr>
                <w:rFonts w:ascii="Calibri" w:hAnsi="Calibri" w:cs="Calibri"/>
                <w:sz w:val="20"/>
                <w:szCs w:val="20"/>
              </w:rPr>
              <w:t>:</w:t>
            </w:r>
            <w:r w:rsidRPr="001B30D0">
              <w:rPr>
                <w:rFonts w:ascii="Calibri" w:hAnsi="Calibri" w:cs="Calibri"/>
                <w:sz w:val="20"/>
                <w:szCs w:val="20"/>
              </w:rPr>
              <w:t xml:space="preserve"> Effect estimates are reported as adjusted risk ratios (adjusted for age, witnessed status, and initial rhythm) obtained from the original publication. Health-related quality of life was </w:t>
            </w:r>
            <w:r w:rsidRPr="001B30D0">
              <w:rPr>
                <w:rFonts w:ascii="Calibri" w:hAnsi="Calibri" w:cs="Calibri"/>
                <w:sz w:val="20"/>
                <w:szCs w:val="20"/>
              </w:rPr>
              <w:t>also reported</w:t>
            </w:r>
            <w:r w:rsidR="007D44BE">
              <w:rPr>
                <w:rFonts w:ascii="Calibri" w:hAnsi="Calibri" w:cs="Calibri"/>
                <w:sz w:val="20"/>
                <w:szCs w:val="20"/>
              </w:rPr>
              <w:t>. The mean difference on the EQ-5D-5L index value was 5 points higher with sodium bicarbonate at 30 days (95% CI, 10 lower to 21 higher) and 13 points higher at 90 days (95% CI, 0 to 26 higher).</w:t>
            </w:r>
          </w:p>
        </w:tc>
      </w:tr>
      <w:tr w:rsidRPr="0026678E" w:rsidR="00E26F63" w:rsidTr="006D0722" w14:paraId="43D45CAC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158578C7" w14:textId="77777777">
            <w:pPr>
              <w:pStyle w:val="Heading2"/>
              <w:spacing w:before="0" w:beforeAutospacing="0" w:after="0" w:afterAutospacing="0" w:line="240" w:lineRule="atLeast"/>
              <w:divId w:val="1794521804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Undesirable Effects</w:t>
            </w:r>
          </w:p>
          <w:p w:rsidRPr="0026678E" w:rsidR="00E26F63" w:rsidRDefault="00000000" w14:paraId="3C773260" w14:textId="77777777">
            <w:pPr>
              <w:pStyle w:val="Subtitle1"/>
              <w:spacing w:before="0" w:beforeAutospacing="0" w:after="0" w:afterAutospacing="0" w:line="240" w:lineRule="atLeast"/>
              <w:divId w:val="1794521804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How substantial are the undesirable anticipated effects?</w:t>
            </w:r>
          </w:p>
        </w:tc>
      </w:tr>
      <w:tr w:rsidRPr="0026678E" w:rsidR="00E26F63" w:rsidTr="006D0722" w14:paraId="583F0FA7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4F41D7B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41BE035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1C753A02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10683" w14:paraId="565A8FB8" w14:textId="77777777">
        <w:trPr>
          <w:divId w:val="409737644"/>
          <w:trHeight w:val="1440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831CFB" w14:paraId="06486AF7" w14:textId="51D26549">
            <w:pPr>
              <w:spacing w:line="240" w:lineRule="atLeast"/>
              <w:divId w:val="1629508155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Large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Moderate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 w:rsidR="00C80A31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Small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 w:rsidR="00C80A31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Trivial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Varies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 w:rsidR="00CD049D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Don't know</w:t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CD049D" w14:paraId="233C2B6C" w14:textId="62F09B8C">
            <w:pPr>
              <w:spacing w:line="240" w:lineRule="atLeast"/>
              <w:divId w:val="1264802866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sz w:val="20"/>
                <w:szCs w:val="20"/>
              </w:rPr>
              <w:t>Alkalosis and hypernatremia after cardiac arrest were more common with sodium bicarbonate. There were no differences between groups in organ dysfunction at 2, 24, 48, and 72 hours.</w:t>
            </w:r>
          </w:p>
        </w:tc>
      </w:tr>
      <w:tr w:rsidRPr="0026678E" w:rsidR="00E26F63" w:rsidTr="006D0722" w14:paraId="15088A13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B487C9A" w14:textId="77777777">
            <w:pPr>
              <w:pStyle w:val="Heading2"/>
              <w:spacing w:before="0" w:beforeAutospacing="0" w:after="0" w:afterAutospacing="0" w:line="240" w:lineRule="atLeast"/>
              <w:divId w:val="896162085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Certainty of evidence</w:t>
            </w:r>
          </w:p>
          <w:p w:rsidRPr="0026678E" w:rsidR="00E26F63" w:rsidRDefault="00000000" w14:paraId="56E11C53" w14:textId="77777777">
            <w:pPr>
              <w:pStyle w:val="Subtitle1"/>
              <w:spacing w:before="0" w:beforeAutospacing="0" w:after="0" w:afterAutospacing="0" w:line="240" w:lineRule="atLeast"/>
              <w:divId w:val="896162085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What is the overall certainty of the evidence of effects?</w:t>
            </w:r>
          </w:p>
        </w:tc>
      </w:tr>
      <w:tr w:rsidRPr="0026678E" w:rsidR="00E26F63" w:rsidTr="006D0722" w14:paraId="32D74BF5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3A5C04A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8CE9201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77C3EFE6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D0722" w14:paraId="5FBAAE86" w14:textId="77777777">
        <w:trPr>
          <w:divId w:val="409737644"/>
          <w:trHeight w:val="2400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220C9D" w14:paraId="0889C428" w14:textId="7788A027">
            <w:pPr>
              <w:spacing w:line="240" w:lineRule="atLeast"/>
              <w:divId w:val="1681735721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 w:rsidR="00A7125A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Very low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 w:rsidR="00A7125A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Low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 w:rsidR="00A7125A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 w:rsidR="00A7125A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Moderate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 w:rsidR="00A7125A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 w:rsidR="00A7125A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High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 w:rsidR="00A7125A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 w:rsidR="00A7125A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No included studies</w:t>
            </w:r>
            <w:r w:rsidRPr="0026678E" w:rsidR="00A7125A">
              <w:rPr>
                <w:rFonts w:ascii="Calibri" w:hAnsi="Calibri" w:eastAsia="Times New Roman" w:cs="Calibri"/>
                <w:sz w:val="20"/>
                <w:szCs w:val="20"/>
              </w:rPr>
              <w:br/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420767" w:rsidR="00F14ED6" w:rsidRDefault="00DF1B40" w14:paraId="0E839D56" w14:textId="2E548036">
            <w:pPr>
              <w:spacing w:line="240" w:lineRule="atLeast"/>
              <w:divId w:val="30348882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 xml:space="preserve">Certainty was </w:t>
            </w:r>
            <w:r w:rsidR="001E7650">
              <w:rPr>
                <w:rFonts w:ascii="Calibri" w:hAnsi="Calibri" w:eastAsia="Times New Roman" w:cs="Calibri"/>
                <w:sz w:val="20"/>
                <w:szCs w:val="20"/>
              </w:rPr>
              <w:t xml:space="preserve">very 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low</w:t>
            </w:r>
            <w:r w:rsidR="00220C9D">
              <w:rPr>
                <w:rFonts w:ascii="Calibri" w:hAnsi="Calibri" w:eastAsia="Times New Roman" w:cs="Calibri"/>
                <w:sz w:val="20"/>
                <w:szCs w:val="20"/>
              </w:rPr>
              <w:t xml:space="preserve"> for quality of life at 30 days</w:t>
            </w:r>
            <w:r w:rsidR="001E7650">
              <w:rPr>
                <w:rFonts w:ascii="Calibri" w:hAnsi="Calibri" w:eastAsia="Times New Roman" w:cs="Calibri"/>
                <w:sz w:val="20"/>
                <w:szCs w:val="20"/>
              </w:rPr>
              <w:t>, low</w:t>
            </w:r>
            <w:r w:rsidR="00220C9D">
              <w:rPr>
                <w:rFonts w:ascii="Calibri" w:hAnsi="Calibri" w:eastAsia="Times New Roman" w:cs="Calibri"/>
                <w:sz w:val="20"/>
                <w:szCs w:val="20"/>
              </w:rPr>
              <w:t xml:space="preserve"> for </w:t>
            </w:r>
            <w:r w:rsidR="001E7650">
              <w:rPr>
                <w:rFonts w:ascii="Calibri" w:hAnsi="Calibri" w:eastAsia="Times New Roman" w:cs="Calibri"/>
                <w:sz w:val="20"/>
                <w:szCs w:val="20"/>
              </w:rPr>
              <w:t xml:space="preserve">quality of life at 90 days and </w:t>
            </w:r>
            <w:r w:rsidR="00220C9D">
              <w:rPr>
                <w:rFonts w:ascii="Calibri" w:hAnsi="Calibri" w:eastAsia="Times New Roman" w:cs="Calibri"/>
                <w:sz w:val="20"/>
                <w:szCs w:val="20"/>
              </w:rPr>
              <w:t xml:space="preserve">favorable neurological survival at </w:t>
            </w:r>
            <w:r w:rsidRPr="00420767" w:rsidR="00220C9D">
              <w:rPr>
                <w:rFonts w:ascii="Calibri" w:hAnsi="Calibri" w:eastAsia="Times New Roman" w:cs="Calibri"/>
                <w:sz w:val="20"/>
                <w:szCs w:val="20"/>
              </w:rPr>
              <w:t>30 days, and moderate for the remaining critical outcomes</w:t>
            </w:r>
            <w:r w:rsidRPr="00420767" w:rsidR="00FE4276">
              <w:rPr>
                <w:rFonts w:ascii="Calibri" w:hAnsi="Calibri" w:eastAsia="Times New Roman" w:cs="Calibri"/>
                <w:sz w:val="20"/>
                <w:szCs w:val="20"/>
              </w:rPr>
              <w:t>.</w:t>
            </w:r>
            <w:r w:rsidRPr="00420767" w:rsidR="00420767">
              <w:rPr>
                <w:rFonts w:ascii="Calibri" w:hAnsi="Calibri" w:eastAsia="Times New Roman" w:cs="Calibri"/>
                <w:sz w:val="20"/>
                <w:szCs w:val="20"/>
              </w:rPr>
              <w:t xml:space="preserve"> </w:t>
            </w:r>
          </w:p>
          <w:p w:rsidRPr="0026678E" w:rsidR="00F14ED6" w:rsidRDefault="001072D8" w14:paraId="2836F751" w14:textId="17E3170F">
            <w:pPr>
              <w:spacing w:line="240" w:lineRule="atLeast"/>
              <w:divId w:val="30348882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072D8">
              <w:rPr>
                <w:rFonts w:ascii="Calibri" w:hAnsi="Calibri" w:eastAsia="Times New Roman" w:cs="Calibri"/>
                <w:noProof/>
                <w:sz w:val="20"/>
                <w:szCs w:val="20"/>
              </w:rPr>
              <w:drawing>
                <wp:inline distT="0" distB="0" distL="0" distR="0" wp14:anchorId="7DF86047" wp14:editId="44C6C8F1">
                  <wp:extent cx="5989000" cy="3901168"/>
                  <wp:effectExtent l="0" t="0" r="5715" b="0"/>
                  <wp:docPr id="16436114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61146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65" cy="3921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26678E" w:rsidR="00E26F63" w:rsidTr="006D0722" w14:paraId="78133A91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17C62B31" w14:textId="77777777">
            <w:pPr>
              <w:pStyle w:val="Heading2"/>
              <w:spacing w:before="0" w:beforeAutospacing="0" w:after="0" w:afterAutospacing="0" w:line="240" w:lineRule="atLeast"/>
              <w:divId w:val="1591891860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Values</w:t>
            </w:r>
          </w:p>
          <w:p w:rsidRPr="0026678E" w:rsidR="00E26F63" w:rsidRDefault="00000000" w14:paraId="2873A87B" w14:textId="77777777">
            <w:pPr>
              <w:pStyle w:val="Subtitle1"/>
              <w:spacing w:before="0" w:beforeAutospacing="0" w:after="0" w:afterAutospacing="0" w:line="240" w:lineRule="atLeast"/>
              <w:divId w:val="1591891860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Is there important uncertainty about or variability in how much people value the main outcomes?</w:t>
            </w:r>
          </w:p>
        </w:tc>
      </w:tr>
      <w:tr w:rsidRPr="0026678E" w:rsidR="00E26F63" w:rsidTr="006D0722" w14:paraId="296EE0DF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14BABC3F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5AD48232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259392AE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D0722" w14:paraId="41D47AD6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1DB5A5AD" w14:textId="68CE4298">
            <w:pPr>
              <w:spacing w:line="240" w:lineRule="atLeast"/>
              <w:divId w:val="1756895559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Important uncertainty or variability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 xml:space="preserve">Possibly 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important uncertainty or variability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no important uncertainty or variability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No important uncertainty or variability</w:t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5CA1AF71" w14:textId="77777777">
            <w:pPr>
              <w:spacing w:line="240" w:lineRule="atLeast"/>
              <w:divId w:val="1172331962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Most people value survival with good neurologic outcome. Agreement is likely less for survival with poor neurologic outcome, or short-term survival without long term survival.</w:t>
            </w:r>
          </w:p>
        </w:tc>
      </w:tr>
      <w:tr w:rsidRPr="0026678E" w:rsidR="00E26F63" w:rsidTr="006D0722" w14:paraId="46268ACC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F793617" w14:textId="77777777">
            <w:pPr>
              <w:pStyle w:val="Heading2"/>
              <w:spacing w:before="0" w:beforeAutospacing="0" w:after="0" w:afterAutospacing="0" w:line="240" w:lineRule="atLeast"/>
              <w:divId w:val="410546875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Balance of effects</w:t>
            </w:r>
          </w:p>
          <w:p w:rsidRPr="0026678E" w:rsidR="00E26F63" w:rsidRDefault="00000000" w14:paraId="381CDBBC" w14:textId="77777777">
            <w:pPr>
              <w:pStyle w:val="Subtitle1"/>
              <w:spacing w:before="0" w:beforeAutospacing="0" w:after="0" w:afterAutospacing="0" w:line="240" w:lineRule="atLeast"/>
              <w:divId w:val="410546875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Does the balance between desirable and undesirable effects favor the intervention or the comparison?</w:t>
            </w:r>
          </w:p>
        </w:tc>
      </w:tr>
      <w:tr w:rsidRPr="0026678E" w:rsidR="00E26F63" w:rsidTr="006D0722" w14:paraId="57010C59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FA7833C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8626771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2227414E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D0722" w14:paraId="392CFEE4" w14:textId="77777777">
        <w:trPr>
          <w:divId w:val="409737644"/>
          <w:trHeight w:val="2400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5E43A951" w14:textId="7CC919D4">
            <w:pPr>
              <w:spacing w:line="240" w:lineRule="atLeast"/>
              <w:divId w:val="1525825546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Favors the comparison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favors the comparison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Does not favor either the intervention or the comparison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favors the intervention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Favors the intervention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Varies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Don't know</w:t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161B34" w14:paraId="64C37359" w14:textId="38078188">
            <w:pPr>
              <w:spacing w:line="240" w:lineRule="atLeast"/>
              <w:divId w:val="1811553247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 xml:space="preserve">There is no evidence of benefit on any outcome and </w:t>
            </w:r>
            <w:r w:rsidR="002D106C">
              <w:rPr>
                <w:rFonts w:ascii="Calibri" w:hAnsi="Calibri" w:eastAsia="Times New Roman" w:cs="Calibri"/>
                <w:sz w:val="20"/>
                <w:szCs w:val="20"/>
              </w:rPr>
              <w:t>observed adverse effects were biochemical</w:t>
            </w:r>
            <w:r w:rsidR="00610683">
              <w:rPr>
                <w:rFonts w:ascii="Calibri" w:hAnsi="Calibri" w:eastAsia="Times New Roman" w:cs="Calibri"/>
                <w:sz w:val="20"/>
                <w:szCs w:val="20"/>
              </w:rPr>
              <w:t>.</w:t>
            </w:r>
          </w:p>
        </w:tc>
      </w:tr>
      <w:tr w:rsidRPr="0026678E" w:rsidR="00E26F63" w:rsidTr="006D0722" w14:paraId="3220B458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E3B3757" w14:textId="77777777">
            <w:pPr>
              <w:pStyle w:val="Heading2"/>
              <w:spacing w:before="0" w:beforeAutospacing="0" w:after="0" w:afterAutospacing="0" w:line="240" w:lineRule="atLeast"/>
              <w:divId w:val="2043045049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Acceptability</w:t>
            </w:r>
          </w:p>
          <w:p w:rsidRPr="0026678E" w:rsidR="00E26F63" w:rsidRDefault="00000000" w14:paraId="10C6B52A" w14:textId="77777777">
            <w:pPr>
              <w:pStyle w:val="Subtitle1"/>
              <w:spacing w:before="0" w:beforeAutospacing="0" w:after="0" w:afterAutospacing="0" w:line="240" w:lineRule="atLeast"/>
              <w:divId w:val="2043045049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Is the intervention acceptable to key stakeholders?</w:t>
            </w:r>
          </w:p>
        </w:tc>
      </w:tr>
      <w:tr w:rsidRPr="0026678E" w:rsidR="00E26F63" w:rsidTr="006D0722" w14:paraId="40359B18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2BB374A1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1E8E041B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9403B74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D0722" w14:paraId="7A7C3F83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38BCC45" w14:textId="7EC593EE">
            <w:pPr>
              <w:spacing w:line="240" w:lineRule="atLeast"/>
              <w:divId w:val="755131307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No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no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yes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Yes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Varies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Don't know</w:t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5286A22" w14:textId="7D3D24B0">
            <w:pPr>
              <w:spacing w:line="240" w:lineRule="atLeast"/>
              <w:divId w:val="1545436699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 xml:space="preserve">Buffering agents are commonly administered for patients in cardiac arrest despite not being </w:t>
            </w:r>
            <w:r w:rsidRPr="0026678E" w:rsidR="00BB3D3D">
              <w:rPr>
                <w:rFonts w:ascii="Calibri" w:hAnsi="Calibri" w:eastAsia="Times New Roman" w:cs="Calibri"/>
                <w:sz w:val="20"/>
                <w:szCs w:val="20"/>
              </w:rPr>
              <w:t>recommended in current guidelines.</w:t>
            </w:r>
          </w:p>
        </w:tc>
      </w:tr>
      <w:tr w:rsidRPr="0026678E" w:rsidR="00E26F63" w:rsidTr="006D0722" w14:paraId="773769E1" w14:textId="77777777">
        <w:trPr>
          <w:divId w:val="409737644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B9D8864" w14:textId="77777777">
            <w:pPr>
              <w:pStyle w:val="Heading2"/>
              <w:spacing w:before="0" w:beforeAutospacing="0" w:after="0" w:afterAutospacing="0" w:line="240" w:lineRule="atLeast"/>
              <w:divId w:val="924610234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Feasibility</w:t>
            </w:r>
          </w:p>
          <w:p w:rsidRPr="0026678E" w:rsidR="00E26F63" w:rsidRDefault="00000000" w14:paraId="35862B49" w14:textId="77777777">
            <w:pPr>
              <w:pStyle w:val="Subtitle1"/>
              <w:spacing w:before="0" w:beforeAutospacing="0" w:after="0" w:afterAutospacing="0" w:line="240" w:lineRule="atLeast"/>
              <w:divId w:val="924610234"/>
              <w:rPr>
                <w:rFonts w:ascii="Calibri" w:hAnsi="Calibri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FFFFFF"/>
                <w:sz w:val="20"/>
                <w:szCs w:val="20"/>
              </w:rPr>
              <w:t>Is the intervention feasible to implement?</w:t>
            </w:r>
          </w:p>
        </w:tc>
      </w:tr>
      <w:tr w:rsidRPr="0026678E" w:rsidR="00E26F63" w:rsidTr="006D0722" w14:paraId="5621A448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23E5DF31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Judgement</w:t>
            </w:r>
          </w:p>
        </w:tc>
        <w:tc>
          <w:tcPr>
            <w:tcW w:w="17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4B0176B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Research evidence</w:t>
            </w:r>
          </w:p>
        </w:tc>
        <w:tc>
          <w:tcPr>
            <w:tcW w:w="25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327F3BB0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aps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aps/>
                <w:sz w:val="20"/>
                <w:szCs w:val="20"/>
              </w:rPr>
              <w:t>Additional considerations</w:t>
            </w:r>
          </w:p>
        </w:tc>
      </w:tr>
      <w:tr w:rsidRPr="0026678E" w:rsidR="00E26F63" w:rsidTr="006D0722" w14:paraId="7AD33351" w14:textId="77777777">
        <w:trPr>
          <w:divId w:val="409737644"/>
        </w:trPr>
        <w:tc>
          <w:tcPr>
            <w:tcW w:w="6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3A833B9" w14:textId="313FFC7A">
            <w:pPr>
              <w:spacing w:line="240" w:lineRule="atLeast"/>
              <w:divId w:val="1635942394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No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no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Probably yes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checked-marker"/>
                <w:rFonts w:ascii="Calibri" w:hAnsi="Calibri" w:eastAsia="Times New Roman" w:cs="Calibri"/>
                <w:sz w:val="20"/>
                <w:szCs w:val="20"/>
              </w:rPr>
              <w:t>●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Yes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Varies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br/>
            </w:r>
            <w:r w:rsidRPr="0026678E">
              <w:rPr>
                <w:rStyle w:val="unchecked-marker"/>
                <w:rFonts w:ascii="Calibri" w:hAnsi="Calibri" w:eastAsia="Times New Roman" w:cs="Calibri"/>
                <w:sz w:val="20"/>
                <w:szCs w:val="20"/>
              </w:rPr>
              <w:t>○</w:t>
            </w: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 </w:t>
            </w:r>
            <w:r w:rsidRPr="0026678E">
              <w:rPr>
                <w:rStyle w:val="ep-radiobuttonlabel"/>
                <w:rFonts w:ascii="Calibri" w:hAnsi="Calibri" w:eastAsia="Times New Roman" w:cs="Calibri"/>
                <w:sz w:val="20"/>
                <w:szCs w:val="20"/>
              </w:rPr>
              <w:t>Don't know</w:t>
            </w:r>
          </w:p>
        </w:tc>
        <w:tc>
          <w:tcPr>
            <w:tcW w:w="431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BB3D3D" w14:paraId="46D52AAE" w14:textId="3074A207">
            <w:pPr>
              <w:spacing w:line="240" w:lineRule="atLeast"/>
              <w:divId w:val="2144538784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Buffering agents are commonly administered during cardiac arrest. The cost is low, particularly where these agents are already stocked for special circumstances such as hyperkalemia or sodium channel blocker poisoning.</w:t>
            </w:r>
          </w:p>
        </w:tc>
      </w:tr>
    </w:tbl>
    <w:p w:rsidRPr="0026678E" w:rsidR="00E26F63" w:rsidRDefault="00000000" w14:paraId="1364B007" w14:textId="6FF4F9E0">
      <w:pPr>
        <w:pStyle w:val="Heading1"/>
        <w:spacing w:after="20" w:afterAutospacing="0"/>
        <w:divId w:val="944112317"/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</w:pPr>
      <w:r w:rsidRPr="0026678E"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  <w:t>Summary of judgements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0"/>
        <w:gridCol w:w="1344"/>
        <w:gridCol w:w="1344"/>
        <w:gridCol w:w="1399"/>
        <w:gridCol w:w="1379"/>
        <w:gridCol w:w="1379"/>
        <w:gridCol w:w="1019"/>
        <w:gridCol w:w="1158"/>
      </w:tblGrid>
      <w:tr w:rsidRPr="0026678E" w:rsidR="00E26F63" w14:paraId="66E2513C" w14:textId="77777777">
        <w:trPr>
          <w:divId w:val="1911190961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18C1AAED" w14:textId="77777777">
            <w:pPr>
              <w:rPr>
                <w:rFonts w:ascii="Calibri" w:hAnsi="Calibri" w:eastAsia="Times New Roman" w:cs="Calibri"/>
                <w:caps/>
                <w:color w:val="000000"/>
                <w:sz w:val="20"/>
                <w:szCs w:val="20"/>
                <w:lang w:val="en"/>
              </w:rPr>
            </w:pPr>
          </w:p>
        </w:tc>
        <w:tc>
          <w:tcPr>
            <w:tcW w:w="0" w:type="auto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58C70A48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Judgement</w:t>
            </w:r>
          </w:p>
        </w:tc>
      </w:tr>
      <w:tr w:rsidRPr="0026678E" w:rsidR="00E26F63" w14:paraId="0F28B994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35345EA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CADD0AF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No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332BCFFF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Probably no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32D73E3B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Probably yes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067B3A0C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Yes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406EA551" w14:textId="77777777">
            <w:pPr>
              <w:rPr>
                <w:rFonts w:ascii="Calibri" w:hAnsi="Calibri" w:cs="Calibri"/>
                <w:color w:val="AEAAAA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FC8EEC9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Varies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0A7D9779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Don't know</w:t>
            </w:r>
          </w:p>
        </w:tc>
      </w:tr>
      <w:tr w:rsidRPr="0026678E" w:rsidR="00E26F63" w14:paraId="7382D4DF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28641438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Desirable Effects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663A0B" w:rsidR="00E26F63" w:rsidRDefault="00663A0B" w14:paraId="22687DB0" w14:textId="127200A2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AEAAAA"/>
                <w:sz w:val="20"/>
                <w:szCs w:val="20"/>
              </w:rPr>
            </w:pPr>
            <w:r w:rsidRPr="00663A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Trivial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DAA9E82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Small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358FA556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Moderate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663A0B" w:rsidR="00E26F63" w:rsidRDefault="00663A0B" w14:paraId="62C6B25A" w14:textId="1E3AA8AD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AEAAAA"/>
                <w:sz w:val="20"/>
                <w:szCs w:val="20"/>
              </w:rPr>
              <w:t>Large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7BB505ED" w14:textId="7777777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AB15021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Varies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2F5BE592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Don't know</w:t>
            </w:r>
          </w:p>
        </w:tc>
      </w:tr>
      <w:tr w:rsidRPr="0026678E" w:rsidR="00E26F63" w14:paraId="3B1250AB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D2D701C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Undesirable Effects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663A0B" w14:paraId="5332E12D" w14:textId="5039223C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AEAAAA"/>
                <w:sz w:val="20"/>
                <w:szCs w:val="20"/>
              </w:rPr>
              <w:t>Large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1F550B0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Moderate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64523A" w14:paraId="1B256BDF" w14:textId="5A6E4CE0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Small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64523A" w14:paraId="05A80E20" w14:textId="3F6E203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663A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Trivial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1B329960" w14:textId="77777777">
            <w:pPr>
              <w:rPr>
                <w:rFonts w:ascii="Calibri" w:hAnsi="Calibri" w:cs="Calibri"/>
                <w:color w:val="AEAAAA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F32B0BE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Varies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9B7003" w14:paraId="56B3640E" w14:textId="3C3E6154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Don't know</w:t>
            </w:r>
          </w:p>
        </w:tc>
      </w:tr>
      <w:tr w:rsidRPr="0026678E" w:rsidR="00E26F63" w14:paraId="0D3B9253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48AD72F5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Certainty of evidence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9B7003" w14:paraId="411FFBBE" w14:textId="5AF014AC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>
              <w:rPr>
                <w:rFonts w:ascii="Calibri" w:hAnsi="Calibri" w:cs="Calibri"/>
                <w:color w:val="AEAAAA"/>
                <w:sz w:val="20"/>
                <w:szCs w:val="20"/>
              </w:rPr>
              <w:t>Very low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9B7003" w14:paraId="03098098" w14:textId="58619668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</w:t>
            </w:r>
            <w:r w:rsidRPr="0026678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ow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E96EF28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Moderate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F61A442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High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7FE73078" w14:textId="77777777">
            <w:pPr>
              <w:rPr>
                <w:rFonts w:ascii="Calibri" w:hAnsi="Calibri" w:cs="Calibri"/>
                <w:color w:val="AEAAAA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633B6A25" w14:textId="77777777">
            <w:pPr>
              <w:spacing w:line="240" w:lineRule="atLeast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96405B3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No included studies</w:t>
            </w:r>
          </w:p>
        </w:tc>
      </w:tr>
      <w:tr w:rsidRPr="0026678E" w:rsidR="00E26F63" w14:paraId="280254A9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41693C04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Values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D303253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Important uncertainty or variability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3D07A84B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Possibly important uncertainty or variability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9D00EC0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Probably no important uncertainty or variability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DD2BCDB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No important uncertainty or variability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48A406FC" w14:textId="77777777">
            <w:pPr>
              <w:rPr>
                <w:rFonts w:ascii="Calibri" w:hAnsi="Calibri" w:cs="Calibri"/>
                <w:color w:val="AEAAAA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57ACBAE7" w14:textId="77777777">
            <w:pPr>
              <w:spacing w:line="240" w:lineRule="atLeast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188B0317" w14:textId="77777777">
            <w:pPr>
              <w:spacing w:line="240" w:lineRule="atLeast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</w:p>
        </w:tc>
      </w:tr>
      <w:tr w:rsidRPr="0026678E" w:rsidR="00E26F63" w14:paraId="03BE82ED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C769FEC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Balance of effects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DE21A57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Favors the comparison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6197451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Probably favors the comparison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99012E0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Does not favor either the intervention or the comparison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57311834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Probably favors the intervention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17A7443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Favors the intervention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21CADB00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Varies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E404C5D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Don't know</w:t>
            </w:r>
          </w:p>
        </w:tc>
      </w:tr>
      <w:tr w:rsidRPr="0026678E" w:rsidR="00E26F63" w14:paraId="7A94FBC7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3EB16A3B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Acceptability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374532C0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No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4B8B701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Probably no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D519799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Probably yes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E31BA8C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04CE7158" w14:textId="7777777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7EDEE068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Varies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4753F2C3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Don't know</w:t>
            </w:r>
          </w:p>
        </w:tc>
      </w:tr>
      <w:tr w:rsidRPr="0026678E" w:rsidR="00E26F63" w14:paraId="6C916FEE" w14:textId="77777777">
        <w:trPr>
          <w:divId w:val="1911190961"/>
        </w:trPr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408BF26F" w14:textId="77777777">
            <w:pPr>
              <w:pStyle w:val="NormalWeb"/>
              <w:spacing w:before="0" w:beforeAutospacing="0" w:after="0" w:afterAutospacing="0" w:line="260" w:lineRule="atLeast"/>
              <w:jc w:val="center"/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aps/>
                <w:color w:val="FFFFFF"/>
                <w:sz w:val="20"/>
                <w:szCs w:val="20"/>
              </w:rPr>
              <w:t>Feasibility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53E070CD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No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64545890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Probably no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2D68254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Probably yes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4A528737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FDFD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E26F63" w14:paraId="5B1A1362" w14:textId="7777777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12667E9B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Varies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26678E" w:rsidR="00E26F63" w:rsidRDefault="00000000" w14:paraId="0113B849" w14:textId="77777777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Calibri" w:hAnsi="Calibri" w:cs="Calibri"/>
                <w:color w:val="AEAAAA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AEAAAA"/>
                <w:sz w:val="20"/>
                <w:szCs w:val="20"/>
              </w:rPr>
              <w:t>Don't know</w:t>
            </w:r>
          </w:p>
        </w:tc>
      </w:tr>
    </w:tbl>
    <w:p w:rsidRPr="0026678E" w:rsidR="00E26F63" w:rsidRDefault="00000000" w14:paraId="20929E28" w14:textId="77777777">
      <w:pPr>
        <w:pStyle w:val="Heading1"/>
        <w:spacing w:after="20" w:afterAutospacing="0"/>
        <w:divId w:val="697242759"/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</w:pPr>
      <w:r w:rsidRPr="0026678E"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  <w:t>Type of recommendation</w:t>
      </w:r>
    </w:p>
    <w:tbl>
      <w:tblPr>
        <w:tblW w:w="503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V w:val="single" w:color="000000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174"/>
        <w:gridCol w:w="2174"/>
        <w:gridCol w:w="2174"/>
        <w:gridCol w:w="2174"/>
      </w:tblGrid>
      <w:tr w:rsidRPr="0026678E" w:rsidR="00A2216A" w:rsidTr="00A2216A" w14:paraId="1AA9223C" w14:textId="77777777">
        <w:trPr>
          <w:divId w:val="2128347930"/>
          <w:trHeight w:val="518"/>
        </w:trPr>
        <w:tc>
          <w:tcPr>
            <w:tcW w:w="1000" w:type="pct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:rsidRPr="0026678E" w:rsidR="00A2216A" w:rsidP="004F5A43" w:rsidRDefault="00A2216A" w14:paraId="613026A1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>Strong recommendation against the intervention</w:t>
            </w:r>
          </w:p>
        </w:tc>
        <w:tc>
          <w:tcPr>
            <w:tcW w:w="1000" w:type="pct"/>
            <w:shd w:val="clear" w:color="auto" w:fill="2E74B5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:rsidRPr="0026678E" w:rsidR="00A2216A" w:rsidP="004F5A43" w:rsidRDefault="00A2216A" w14:paraId="0F46DAFD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Conditional recommendation against the intervention</w:t>
            </w:r>
          </w:p>
        </w:tc>
        <w:tc>
          <w:tcPr>
            <w:tcW w:w="1000" w:type="pct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:rsidRPr="0026678E" w:rsidR="00A2216A" w:rsidP="004F5A43" w:rsidRDefault="00A2216A" w14:paraId="2C4BCFFD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>Conditional recommendation for either the intervention or the comparison</w:t>
            </w:r>
          </w:p>
        </w:tc>
        <w:tc>
          <w:tcPr>
            <w:tcW w:w="1000" w:type="pct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:rsidRPr="0026678E" w:rsidR="00A2216A" w:rsidP="004F5A43" w:rsidRDefault="00A2216A" w14:paraId="7376D999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>Conditional recommendation for the intervention</w:t>
            </w:r>
          </w:p>
        </w:tc>
        <w:tc>
          <w:tcPr>
            <w:tcW w:w="1000" w:type="pct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:rsidRPr="0026678E" w:rsidR="00A2216A" w:rsidP="004F5A43" w:rsidRDefault="00A2216A" w14:paraId="3186C7BB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>Strong recommendation for the intervention</w:t>
            </w:r>
          </w:p>
        </w:tc>
      </w:tr>
      <w:tr w:rsidRPr="0026678E" w:rsidR="00A2216A" w:rsidTr="00A2216A" w14:paraId="6AB983F9" w14:textId="77777777">
        <w:trPr>
          <w:divId w:val="2128347930"/>
          <w:trHeight w:val="80"/>
        </w:trPr>
        <w:tc>
          <w:tcPr>
            <w:tcW w:w="1000" w:type="pct"/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:rsidRPr="0026678E" w:rsidR="00A2216A" w:rsidP="004F5A43" w:rsidRDefault="00A2216A" w14:paraId="65930E58" w14:textId="77777777">
            <w:pPr>
              <w:pStyle w:val="marker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○ </w:t>
            </w:r>
          </w:p>
        </w:tc>
        <w:tc>
          <w:tcPr>
            <w:tcW w:w="1000" w:type="pct"/>
            <w:shd w:val="clear" w:color="auto" w:fill="2E74B5"/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:rsidRPr="0026678E" w:rsidR="00A2216A" w:rsidP="004F5A43" w:rsidRDefault="00A2216A" w14:paraId="559A28CC" w14:textId="77777777">
            <w:pPr>
              <w:pStyle w:val="marker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● </w:t>
            </w:r>
          </w:p>
        </w:tc>
        <w:tc>
          <w:tcPr>
            <w:tcW w:w="1000" w:type="pct"/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:rsidRPr="0026678E" w:rsidR="00A2216A" w:rsidP="004F5A43" w:rsidRDefault="00A2216A" w14:paraId="161C0A5B" w14:textId="77777777">
            <w:pPr>
              <w:pStyle w:val="marker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○ </w:t>
            </w:r>
          </w:p>
        </w:tc>
        <w:tc>
          <w:tcPr>
            <w:tcW w:w="1000" w:type="pct"/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:rsidRPr="0026678E" w:rsidR="00A2216A" w:rsidP="004F5A43" w:rsidRDefault="00A2216A" w14:paraId="4CC5FC48" w14:textId="77777777">
            <w:pPr>
              <w:pStyle w:val="marker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○ </w:t>
            </w:r>
          </w:p>
        </w:tc>
        <w:tc>
          <w:tcPr>
            <w:tcW w:w="1000" w:type="pct"/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:rsidRPr="0026678E" w:rsidR="00A2216A" w:rsidP="004F5A43" w:rsidRDefault="00A2216A" w14:paraId="626C2AF9" w14:textId="77777777">
            <w:pPr>
              <w:pStyle w:val="marker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678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○ </w:t>
            </w:r>
          </w:p>
        </w:tc>
      </w:tr>
    </w:tbl>
    <w:p w:rsidRPr="0026678E" w:rsidR="00E26F63" w:rsidRDefault="00000000" w14:paraId="64C319F1" w14:textId="046C74E0">
      <w:pPr>
        <w:pStyle w:val="Heading1"/>
        <w:spacing w:after="20" w:afterAutospacing="0"/>
        <w:divId w:val="2128347930"/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</w:pPr>
      <w:r w:rsidRPr="0026678E"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  <w:t>Conclusion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Pr="0026678E" w:rsidR="00E26F63" w14:paraId="11E4DF74" w14:textId="77777777">
        <w:trPr>
          <w:divId w:val="1146436506"/>
        </w:trPr>
        <w:tc>
          <w:tcPr>
            <w:tcW w:w="0" w:type="auto"/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887DD7" w:rsidR="00E26F63" w:rsidRDefault="00000000" w14:paraId="2BC7250B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887DD7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Recommendation</w:t>
            </w:r>
          </w:p>
        </w:tc>
      </w:tr>
      <w:tr w:rsidRPr="0026678E" w:rsidR="00E26F63" w14:paraId="6D1FD9CD" w14:textId="77777777">
        <w:trPr>
          <w:divId w:val="1146436506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887DD7" w:rsidR="00E26F63" w:rsidP="00887DD7" w:rsidRDefault="00887DD7" w14:paraId="170670BE" w14:textId="370A7DD7">
            <w:pPr>
              <w:divId w:val="302663666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887D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We suggest against the routine administration of buffering agents for the treatment of in-hospital cardiac arrest (weak recommendation, low certainty of evidence). </w:t>
            </w:r>
          </w:p>
        </w:tc>
      </w:tr>
    </w:tbl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Pr="0026678E" w:rsidR="00E26F63" w14:paraId="6A7369C8" w14:textId="77777777">
        <w:trPr>
          <w:divId w:val="1245795939"/>
        </w:trPr>
        <w:tc>
          <w:tcPr>
            <w:tcW w:w="0" w:type="auto"/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22D542E1" w14:textId="77777777">
            <w:pPr>
              <w:pStyle w:val="Heading2"/>
              <w:spacing w:before="0" w:beforeAutospacing="0" w:after="0" w:afterAutospacing="0" w:line="240" w:lineRule="atLeast"/>
              <w:divId w:val="439567425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Justification</w:t>
            </w:r>
          </w:p>
        </w:tc>
      </w:tr>
      <w:tr w:rsidRPr="0026678E" w:rsidR="00E26F63" w:rsidTr="004B159B" w14:paraId="79F8DB62" w14:textId="77777777">
        <w:trPr>
          <w:divId w:val="1245795939"/>
          <w:trHeight w:val="186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4B159B" w:rsidR="00E26F63" w:rsidRDefault="00000000" w14:paraId="68AE18C3" w14:textId="76132CB1">
            <w:pPr>
              <w:spacing w:line="240" w:lineRule="atLeast"/>
              <w:divId w:val="93478474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4B159B">
              <w:rPr>
                <w:rFonts w:ascii="Calibri" w:hAnsi="Calibri" w:eastAsia="Times New Roman" w:cs="Calibri"/>
                <w:sz w:val="20"/>
                <w:szCs w:val="20"/>
              </w:rPr>
              <w:t>In making this recommendation we place</w:t>
            </w:r>
            <w:r w:rsidR="000A0C35">
              <w:rPr>
                <w:rFonts w:ascii="Calibri" w:hAnsi="Calibri" w:eastAsia="Times New Roman" w:cs="Calibri"/>
                <w:sz w:val="20"/>
                <w:szCs w:val="20"/>
              </w:rPr>
              <w:t>d</w:t>
            </w:r>
            <w:r w:rsidRPr="004B159B">
              <w:rPr>
                <w:rFonts w:ascii="Calibri" w:hAnsi="Calibri" w:eastAsia="Times New Roman" w:cs="Calibri"/>
                <w:sz w:val="20"/>
                <w:szCs w:val="20"/>
              </w:rPr>
              <w:t xml:space="preserve"> a higher value on not allocating resources to an ineffective intervention, which may divert rescuer time from more beneficial interventions.</w:t>
            </w:r>
          </w:p>
        </w:tc>
      </w:tr>
    </w:tbl>
    <w:tbl>
      <w:tblPr>
        <w:tblW w:w="50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0"/>
      </w:tblGrid>
      <w:tr w:rsidRPr="0026678E" w:rsidR="00E26F63" w:rsidTr="002650CC" w14:paraId="2B47DE16" w14:textId="77777777">
        <w:trPr>
          <w:divId w:val="2103791161"/>
          <w:trHeight w:val="121"/>
        </w:trPr>
        <w:tc>
          <w:tcPr>
            <w:tcW w:w="0" w:type="auto"/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74F6632E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Subgroup considerations</w:t>
            </w:r>
          </w:p>
        </w:tc>
      </w:tr>
      <w:tr w:rsidRPr="0026678E" w:rsidR="00E26F63" w:rsidTr="002650CC" w14:paraId="022BF86F" w14:textId="77777777">
        <w:trPr>
          <w:divId w:val="2103791161"/>
          <w:trHeight w:val="533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4E25B0" w:rsidR="00A7422A" w:rsidP="002650CC" w:rsidRDefault="00000000" w14:paraId="7BDF1830" w14:textId="77777777">
            <w:pPr>
              <w:spacing w:line="240" w:lineRule="atLeast"/>
              <w:divId w:val="493570767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4B159B">
              <w:rPr>
                <w:rFonts w:ascii="Calibri" w:hAnsi="Calibri" w:eastAsia="Times New Roman" w:cs="Calibri"/>
                <w:sz w:val="20"/>
                <w:szCs w:val="20"/>
              </w:rPr>
              <w:t>This evaluation</w:t>
            </w:r>
            <w:r w:rsidRPr="004B159B" w:rsidR="00475338">
              <w:rPr>
                <w:rFonts w:ascii="Calibri" w:hAnsi="Calibri" w:eastAsia="Times New Roman" w:cs="Calibri"/>
                <w:sz w:val="20"/>
                <w:szCs w:val="20"/>
              </w:rPr>
              <w:t xml:space="preserve"> does not address buffering agents in special circumstances, such as hyperkalemia (PICO ALS 456) and sodium channel blocker or </w:t>
            </w:r>
            <w:r w:rsidRPr="004E25B0" w:rsidR="00475338">
              <w:rPr>
                <w:rFonts w:ascii="Calibri" w:hAnsi="Calibri" w:eastAsia="Times New Roman" w:cs="Calibri"/>
                <w:sz w:val="20"/>
                <w:szCs w:val="20"/>
              </w:rPr>
              <w:t>tricyclic antidepressant poisoning (PICO ALS 429).</w:t>
            </w:r>
            <w:r w:rsidRPr="004E25B0" w:rsidR="000A0C35">
              <w:rPr>
                <w:rFonts w:ascii="Calibri" w:hAnsi="Calibri" w:eastAsia="Times New Roman" w:cs="Calibri"/>
                <w:sz w:val="20"/>
                <w:szCs w:val="20"/>
              </w:rPr>
              <w:t xml:space="preserve"> The identified trial excluded patients with a clinical indication for sodium bicarbonate.</w:t>
            </w:r>
          </w:p>
          <w:p w:rsidRPr="0003503D" w:rsidR="00AF448B" w:rsidP="00AF448B" w:rsidRDefault="00AF448B" w14:paraId="38AFD1E3" w14:textId="4DA2D9EA">
            <w:pPr>
              <w:divId w:val="493570767"/>
              <w:rPr>
                <w:rFonts w:ascii="Calibri" w:hAnsi="Calibri" w:cs="Calibri"/>
                <w:bCs/>
                <w:sz w:val="20"/>
                <w:szCs w:val="20"/>
              </w:rPr>
            </w:pPr>
            <w:r w:rsidRPr="004E25B0">
              <w:rPr>
                <w:rFonts w:ascii="Calibri" w:hAnsi="Calibri" w:cs="Calibri"/>
                <w:bCs/>
                <w:sz w:val="20"/>
                <w:szCs w:val="20"/>
              </w:rPr>
              <w:t xml:space="preserve">Prespecified subgroup analyses comparing out-of-hospital and in-hospital cardiac arrest found no </w:t>
            </w:r>
            <w:r w:rsidR="0005496B">
              <w:rPr>
                <w:rFonts w:ascii="Calibri" w:hAnsi="Calibri" w:cs="Calibri"/>
                <w:bCs/>
                <w:sz w:val="20"/>
                <w:szCs w:val="20"/>
              </w:rPr>
              <w:t xml:space="preserve">clear </w:t>
            </w:r>
            <w:r w:rsidRPr="004E25B0">
              <w:rPr>
                <w:rFonts w:ascii="Calibri" w:hAnsi="Calibri" w:cs="Calibri"/>
                <w:bCs/>
                <w:sz w:val="20"/>
                <w:szCs w:val="20"/>
              </w:rPr>
              <w:t xml:space="preserve">evidence of a subgroup difference for favorable neurological </w:t>
            </w:r>
            <w:r w:rsidRPr="0003503D">
              <w:rPr>
                <w:rFonts w:ascii="Calibri" w:hAnsi="Calibri" w:cs="Calibri"/>
                <w:bCs/>
                <w:sz w:val="20"/>
                <w:szCs w:val="20"/>
              </w:rPr>
              <w:t>survival at 1 month, survival to hospital discharge or 30 days, or return of spontaneous circulation.</w:t>
            </w:r>
          </w:p>
          <w:p w:rsidR="00AF448B" w:rsidP="00AF448B" w:rsidRDefault="00AF448B" w14:paraId="4C13D33F" w14:textId="77777777">
            <w:pPr>
              <w:divId w:val="493570767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  <w:szCs w:val="20"/>
              </w:rPr>
              <w:drawing>
                <wp:inline distT="0" distB="0" distL="0" distR="0" wp14:anchorId="52A2D87D" wp14:editId="78A2DFC9">
                  <wp:extent cx="6858000" cy="1647190"/>
                  <wp:effectExtent l="0" t="0" r="0" b="3810"/>
                  <wp:docPr id="45800051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000516" name="Picture 4580005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164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503D"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Pr="0003503D">
              <w:rPr>
                <w:rFonts w:ascii="Calibri" w:hAnsi="Calibri" w:cs="Calibri"/>
                <w:bCs/>
                <w:sz w:val="20"/>
                <w:szCs w:val="20"/>
              </w:rPr>
              <w:t>Forest plot of subgroup differences for favorable neurological survival at 1 month.</w:t>
            </w:r>
          </w:p>
          <w:p w:rsidRPr="0003503D" w:rsidR="00AF448B" w:rsidP="00AF448B" w:rsidRDefault="00AF448B" w14:paraId="2F9BF34D" w14:textId="77777777">
            <w:pPr>
              <w:divId w:val="493570767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  <w:szCs w:val="20"/>
              </w:rPr>
              <w:drawing>
                <wp:inline distT="0" distB="0" distL="0" distR="0" wp14:anchorId="6D0ED33C" wp14:editId="30990007">
                  <wp:extent cx="6858000" cy="1642110"/>
                  <wp:effectExtent l="0" t="0" r="0" b="0"/>
                  <wp:docPr id="162925260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52601" name="Picture 162925260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bCs/>
                <w:sz w:val="20"/>
                <w:szCs w:val="20"/>
              </w:rPr>
              <w:t>F</w:t>
            </w:r>
            <w:r w:rsidRPr="0003503D">
              <w:rPr>
                <w:rFonts w:ascii="Calibri" w:hAnsi="Calibri" w:cs="Calibri"/>
                <w:bCs/>
                <w:sz w:val="20"/>
                <w:szCs w:val="20"/>
              </w:rPr>
              <w:t xml:space="preserve">orest plot of subgroup differences for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survival to hospital discharge or 30 days</w:t>
            </w:r>
            <w:r w:rsidRPr="0003503D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  <w:p w:rsidR="00AF448B" w:rsidP="00AF448B" w:rsidRDefault="00AF448B" w14:paraId="0CD19B88" w14:textId="77777777">
            <w:pPr>
              <w:spacing w:line="240" w:lineRule="atLeast"/>
              <w:divId w:val="493570767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noProof/>
                <w:sz w:val="20"/>
                <w:szCs w:val="20"/>
              </w:rPr>
              <w:drawing>
                <wp:inline distT="0" distB="0" distL="0" distR="0" wp14:anchorId="309C970D" wp14:editId="7B8ECE9B">
                  <wp:extent cx="6858000" cy="1634490"/>
                  <wp:effectExtent l="0" t="0" r="0" b="3810"/>
                  <wp:docPr id="90877533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75330" name="Picture 90877533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4B159B" w:rsidR="00AF448B" w:rsidP="00AF448B" w:rsidRDefault="00AF448B" w14:paraId="7F1FCDED" w14:textId="6048599D">
            <w:pPr>
              <w:spacing w:line="240" w:lineRule="atLeast"/>
              <w:divId w:val="493570767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F</w:t>
            </w:r>
            <w:r w:rsidRPr="0003503D">
              <w:rPr>
                <w:rFonts w:ascii="Calibri" w:hAnsi="Calibri" w:cs="Calibri"/>
                <w:bCs/>
                <w:sz w:val="20"/>
                <w:szCs w:val="20"/>
              </w:rPr>
              <w:t xml:space="preserve">orest plot of subgroup differences for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return of spontaneous circulation</w:t>
            </w:r>
            <w:r w:rsidRPr="0003503D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</w:tr>
    </w:tbl>
    <w:tbl>
      <w:tblPr>
        <w:tblW w:w="504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7"/>
      </w:tblGrid>
      <w:tr w:rsidRPr="0026678E" w:rsidR="00E26F63" w:rsidTr="00157073" w14:paraId="01F26472" w14:textId="77777777">
        <w:trPr>
          <w:divId w:val="1245795939"/>
          <w:trHeight w:val="112"/>
        </w:trPr>
        <w:tc>
          <w:tcPr>
            <w:tcW w:w="0" w:type="auto"/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6BE66D0C" w14:textId="77777777">
            <w:pPr>
              <w:pStyle w:val="Heading2"/>
              <w:spacing w:before="0" w:beforeAutospacing="0" w:after="0" w:afterAutospacing="0" w:line="240" w:lineRule="atLeast"/>
              <w:divId w:val="1951350413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Implementation considerations</w:t>
            </w:r>
          </w:p>
        </w:tc>
      </w:tr>
      <w:tr w:rsidRPr="0026678E" w:rsidR="00E26F63" w:rsidTr="00157073" w14:paraId="75E0FF01" w14:textId="77777777">
        <w:trPr>
          <w:divId w:val="1245795939"/>
          <w:trHeight w:val="494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896B78" w:rsidRDefault="00896B78" w14:paraId="4B040FDA" w14:textId="06C357D0">
            <w:pPr>
              <w:spacing w:line="240" w:lineRule="atLeast"/>
              <w:divId w:val="790251132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ILCOR and international resuscitation council guidelines already recommend against routine administration of buffering agents in cardiac arrest, so no change is required.</w:t>
            </w:r>
          </w:p>
        </w:tc>
      </w:tr>
    </w:tbl>
    <w:tbl>
      <w:tblPr>
        <w:tblW w:w="5017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7"/>
      </w:tblGrid>
      <w:tr w:rsidRPr="0026678E" w:rsidR="00E26F63" w:rsidTr="00157073" w14:paraId="31EE3B11" w14:textId="77777777">
        <w:trPr>
          <w:divId w:val="227881050"/>
        </w:trPr>
        <w:tc>
          <w:tcPr>
            <w:tcW w:w="0" w:type="auto"/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4953E112" w14:textId="77777777">
            <w:pPr>
              <w:pStyle w:val="Heading2"/>
              <w:spacing w:before="0" w:beforeAutospacing="0" w:after="0" w:afterAutospacing="0" w:line="240" w:lineRule="atLeast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Monitoring and evaluation</w:t>
            </w:r>
          </w:p>
        </w:tc>
      </w:tr>
      <w:tr w:rsidRPr="0026678E" w:rsidR="00E26F63" w:rsidTr="00157073" w14:paraId="53EEC5EB" w14:textId="77777777">
        <w:trPr>
          <w:divId w:val="227881050"/>
          <w:trHeight w:val="305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157073" w:rsidRDefault="00157073" w14:paraId="1B5CD89D" w14:textId="319DDC6A">
            <w:pPr>
              <w:spacing w:line="240" w:lineRule="atLeast"/>
              <w:divId w:val="1970210459"/>
              <w:rPr>
                <w:rFonts w:ascii="Calibri" w:hAnsi="Calibri" w:eastAsia="Times New Roman" w:cs="Calibri"/>
                <w:sz w:val="20"/>
                <w:szCs w:val="20"/>
              </w:rPr>
            </w:pPr>
          </w:p>
        </w:tc>
      </w:tr>
    </w:tbl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Pr="0026678E" w:rsidR="00E26F63" w14:paraId="46038E69" w14:textId="77777777">
        <w:trPr>
          <w:divId w:val="1245795939"/>
        </w:trPr>
        <w:tc>
          <w:tcPr>
            <w:tcW w:w="0" w:type="auto"/>
            <w:shd w:val="clear" w:color="auto" w:fill="2E74B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000000" w14:paraId="0A2B9BC5" w14:textId="77777777">
            <w:pPr>
              <w:pStyle w:val="Heading2"/>
              <w:spacing w:before="0" w:beforeAutospacing="0" w:after="0" w:afterAutospacing="0" w:line="240" w:lineRule="atLeast"/>
              <w:divId w:val="1994017098"/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color w:val="FFFFFF"/>
                <w:sz w:val="20"/>
                <w:szCs w:val="20"/>
              </w:rPr>
              <w:t>Research priorities</w:t>
            </w:r>
          </w:p>
        </w:tc>
      </w:tr>
      <w:tr w:rsidRPr="0026678E" w:rsidR="00E26F63" w14:paraId="3EA0A538" w14:textId="77777777">
        <w:trPr>
          <w:divId w:val="1245795939"/>
          <w:trHeight w:val="108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Pr="0026678E" w:rsidR="00E26F63" w:rsidRDefault="0024180A" w14:paraId="117B34AE" w14:textId="6EB3B154">
            <w:pPr>
              <w:spacing w:line="240" w:lineRule="atLeast"/>
              <w:divId w:val="1163551064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26678E">
              <w:rPr>
                <w:rFonts w:ascii="Calibri" w:hAnsi="Calibri" w:eastAsia="Times New Roman" w:cs="Calibri"/>
                <w:sz w:val="20"/>
                <w:szCs w:val="20"/>
              </w:rPr>
              <w:t>The dose and timing of administration have not been evaluated.</w:t>
            </w:r>
            <w:r w:rsidR="005A0AE6">
              <w:rPr>
                <w:rFonts w:ascii="Calibri" w:hAnsi="Calibri" w:eastAsia="Times New Roman" w:cs="Calibri"/>
                <w:sz w:val="20"/>
                <w:szCs w:val="20"/>
              </w:rPr>
              <w:t xml:space="preserve"> No trial has evaluated buffering agents other than sodium bicarbonate in this setting.</w:t>
            </w:r>
          </w:p>
        </w:tc>
      </w:tr>
    </w:tbl>
    <w:p w:rsidRPr="0026678E" w:rsidR="00014B01" w:rsidP="00A80455" w:rsidRDefault="00014B01" w14:paraId="33EF1D0D" w14:textId="72221E23">
      <w:pPr>
        <w:pStyle w:val="Heading1"/>
        <w:pageBreakBefore/>
        <w:spacing w:after="20" w:afterAutospacing="0"/>
        <w:divId w:val="1416786427"/>
        <w:rPr>
          <w:rFonts w:ascii="Calibri" w:hAnsi="Calibri" w:eastAsia="Times New Roman" w:cs="Calibri"/>
          <w:caps/>
          <w:color w:val="000000"/>
          <w:sz w:val="20"/>
          <w:szCs w:val="20"/>
          <w:lang w:val="en"/>
        </w:rPr>
      </w:pPr>
    </w:p>
    <w:sectPr w:rsidRPr="0026678E" w:rsidR="00014B01" w:rsidSect="0026678E">
      <w:pgSz w:w="12240" w:h="15840" w:orient="portrait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8B7797"/>
    <w:multiLevelType w:val="hybridMultilevel"/>
    <w:tmpl w:val="46F0C2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1764496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C4"/>
    <w:rsid w:val="0000198A"/>
    <w:rsid w:val="00014B01"/>
    <w:rsid w:val="000277C9"/>
    <w:rsid w:val="0005496B"/>
    <w:rsid w:val="00064853"/>
    <w:rsid w:val="000A0C35"/>
    <w:rsid w:val="000C6435"/>
    <w:rsid w:val="000E3A42"/>
    <w:rsid w:val="001072D8"/>
    <w:rsid w:val="00140934"/>
    <w:rsid w:val="00157073"/>
    <w:rsid w:val="00161B34"/>
    <w:rsid w:val="001A3F5A"/>
    <w:rsid w:val="001B30D0"/>
    <w:rsid w:val="001E613B"/>
    <w:rsid w:val="001E7650"/>
    <w:rsid w:val="0020636B"/>
    <w:rsid w:val="00210244"/>
    <w:rsid w:val="00220C9D"/>
    <w:rsid w:val="002210EB"/>
    <w:rsid w:val="0024180A"/>
    <w:rsid w:val="002650CC"/>
    <w:rsid w:val="0026678E"/>
    <w:rsid w:val="002709CA"/>
    <w:rsid w:val="00274F60"/>
    <w:rsid w:val="00277B20"/>
    <w:rsid w:val="00282DCF"/>
    <w:rsid w:val="002A3835"/>
    <w:rsid w:val="002A5F8D"/>
    <w:rsid w:val="002D106C"/>
    <w:rsid w:val="002D1C05"/>
    <w:rsid w:val="003C39E4"/>
    <w:rsid w:val="003D2447"/>
    <w:rsid w:val="003D57E1"/>
    <w:rsid w:val="004146D9"/>
    <w:rsid w:val="004171C9"/>
    <w:rsid w:val="00420767"/>
    <w:rsid w:val="00475338"/>
    <w:rsid w:val="004958FA"/>
    <w:rsid w:val="004B159B"/>
    <w:rsid w:val="004C0F39"/>
    <w:rsid w:val="004E25B0"/>
    <w:rsid w:val="00503DE3"/>
    <w:rsid w:val="00512C5B"/>
    <w:rsid w:val="00530197"/>
    <w:rsid w:val="0055199F"/>
    <w:rsid w:val="005749EA"/>
    <w:rsid w:val="005A0AE6"/>
    <w:rsid w:val="005A6FD1"/>
    <w:rsid w:val="005B4C31"/>
    <w:rsid w:val="005C27FD"/>
    <w:rsid w:val="005F63C3"/>
    <w:rsid w:val="00610683"/>
    <w:rsid w:val="0064523A"/>
    <w:rsid w:val="00663A0B"/>
    <w:rsid w:val="006845C4"/>
    <w:rsid w:val="0069378A"/>
    <w:rsid w:val="006C0E94"/>
    <w:rsid w:val="006D0722"/>
    <w:rsid w:val="007A1630"/>
    <w:rsid w:val="007D44BE"/>
    <w:rsid w:val="007E3D6F"/>
    <w:rsid w:val="007E3E9E"/>
    <w:rsid w:val="00812576"/>
    <w:rsid w:val="00814612"/>
    <w:rsid w:val="00831CFB"/>
    <w:rsid w:val="00833C50"/>
    <w:rsid w:val="0087693B"/>
    <w:rsid w:val="008803DD"/>
    <w:rsid w:val="00887DD7"/>
    <w:rsid w:val="00896B78"/>
    <w:rsid w:val="008F53DE"/>
    <w:rsid w:val="00951E3A"/>
    <w:rsid w:val="009B7003"/>
    <w:rsid w:val="009F0E04"/>
    <w:rsid w:val="00A2216A"/>
    <w:rsid w:val="00A2234C"/>
    <w:rsid w:val="00A7125A"/>
    <w:rsid w:val="00A7422A"/>
    <w:rsid w:val="00A80455"/>
    <w:rsid w:val="00AF448B"/>
    <w:rsid w:val="00B02896"/>
    <w:rsid w:val="00B8533E"/>
    <w:rsid w:val="00B96D99"/>
    <w:rsid w:val="00BA7575"/>
    <w:rsid w:val="00BB3D3D"/>
    <w:rsid w:val="00BD4EEF"/>
    <w:rsid w:val="00BE4790"/>
    <w:rsid w:val="00C06EC4"/>
    <w:rsid w:val="00C80A31"/>
    <w:rsid w:val="00C84569"/>
    <w:rsid w:val="00C86A82"/>
    <w:rsid w:val="00CB442A"/>
    <w:rsid w:val="00CC4D22"/>
    <w:rsid w:val="00CD049D"/>
    <w:rsid w:val="00CE7275"/>
    <w:rsid w:val="00D10270"/>
    <w:rsid w:val="00DB2D3C"/>
    <w:rsid w:val="00DB3C1A"/>
    <w:rsid w:val="00DF1B40"/>
    <w:rsid w:val="00DF2600"/>
    <w:rsid w:val="00E26F63"/>
    <w:rsid w:val="00ED40FD"/>
    <w:rsid w:val="00F14ED6"/>
    <w:rsid w:val="00F26907"/>
    <w:rsid w:val="00FA2724"/>
    <w:rsid w:val="00FA6D35"/>
    <w:rsid w:val="00FE4276"/>
    <w:rsid w:val="140E7B79"/>
    <w:rsid w:val="22C411EE"/>
    <w:rsid w:val="28702028"/>
    <w:rsid w:val="2B58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9E7EA9"/>
  <w15:docId w15:val="{C5ED0B28-99C6-C942-AB31-1B104292C9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kern w:val="0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="Times New Roman" w:hAnsi="Times New Roman" w:cs="Times New Roman"/>
      <w:b/>
      <w:bCs/>
      <w:kern w:val="0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styleId="section-name" w:customStyle="1">
    <w:name w:val="section-nam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styleId="Subtitle1" w:customStyle="1">
    <w:name w:val="Subtitle1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unchecked-marker" w:customStyle="1">
    <w:name w:val="unchecked-marker"/>
    <w:basedOn w:val="DefaultParagraphFont"/>
  </w:style>
  <w:style w:type="character" w:styleId="ep-radiobuttonlabel" w:customStyle="1">
    <w:name w:val="ep-radiobutton__label"/>
    <w:basedOn w:val="DefaultParagraphFont"/>
  </w:style>
  <w:style w:type="character" w:styleId="checked-marker" w:customStyle="1">
    <w:name w:val="checked-marker"/>
    <w:basedOn w:val="DefaultParagraphFont"/>
  </w:style>
  <w:style w:type="paragraph" w:styleId="marker" w:customStyle="1">
    <w:name w:val="marker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styleId="ListParagraph">
    <w:name w:val="List Paragraph"/>
    <w:basedOn w:val="Normal"/>
    <w:link w:val="ListParagraphChar"/>
    <w:uiPriority w:val="34"/>
    <w:qFormat/>
    <w:rsid w:val="00420767"/>
    <w:pPr>
      <w:spacing w:after="0" w:line="240" w:lineRule="auto"/>
      <w:ind w:left="720"/>
      <w:contextualSpacing/>
    </w:pPr>
    <w:rPr>
      <w:rFonts w:eastAsia="Calibri" w:asciiTheme="majorHAnsi" w:hAnsiTheme="majorHAnsi" w:cstheme="majorHAnsi"/>
      <w:kern w:val="0"/>
      <w:sz w:val="20"/>
      <w:szCs w:val="20"/>
      <w14:ligatures w14:val="none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420767"/>
    <w:rPr>
      <w:rFonts w:eastAsia="Calibri" w:asciiTheme="majorHAnsi" w:hAnsiTheme="majorHAnsi" w:cstheme="majorHAns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322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1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82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07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58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47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126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10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69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83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685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80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74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85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421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2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399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3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48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8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736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03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3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77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6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93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6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19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47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812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274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81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912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264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708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228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570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217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53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9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122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07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98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83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499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218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572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8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513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687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80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983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367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355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258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1290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215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992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88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52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038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0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35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50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412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69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439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91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81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72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764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927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109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2817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802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359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16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753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6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85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39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73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447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73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16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38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60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159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3300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261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150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027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545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348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473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0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89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357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791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4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32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89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208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18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26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66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51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442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44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082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470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8515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331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57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83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54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984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8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36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63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25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629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68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97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10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60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49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42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715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029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504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424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1553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562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8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4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387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56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16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18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3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871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69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822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62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426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88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3855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3729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390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0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5436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654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1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347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55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05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12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4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170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43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941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44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376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787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603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299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385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6703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4538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411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19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9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72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4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23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43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0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924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230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930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5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034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663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956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75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31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728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70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247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553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4310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7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379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56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10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417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5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903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456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94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570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135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99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98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258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32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797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176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251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788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69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739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375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71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317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1704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0210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4017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80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85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13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422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40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293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551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2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8" /><Relationship Type="http://schemas.openxmlformats.org/officeDocument/2006/relationships/settings" Target="settings.xml" Id="rId3" /><Relationship Type="http://schemas.openxmlformats.org/officeDocument/2006/relationships/image" Target="media/image3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theme" Target="theme/theme1.xml" Id="rId11" /><Relationship Type="http://schemas.openxmlformats.org/officeDocument/2006/relationships/image" Target="media/image1.png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image" Target="media/image5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Jaylen Wright</lastModifiedBy>
  <revision>111</revision>
  <dcterms:created xsi:type="dcterms:W3CDTF">2026-08-26T11:17:00.0000000Z</dcterms:created>
  <dcterms:modified xsi:type="dcterms:W3CDTF">2026-11-05T20:27:13.4804221Z</dcterms:modified>
</coreProperties>
</file>