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9000"/>
      </w:tblGrid>
      <w:tr w:rsidR="00C85342" w14:paraId="21D7D845" w14:textId="77777777">
        <w:trPr>
          <w:divId w:val="81151574"/>
        </w:trPr>
        <w:tc>
          <w:tcPr>
            <w:tcW w:w="0" w:type="auto"/>
            <w:gridSpan w:val="2"/>
            <w:tcBorders>
              <w:bottom w:val="single" w:sz="6" w:space="0" w:color="2E74B5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79625" w14:textId="77777777" w:rsidR="00C85342" w:rsidRDefault="00C005E5">
            <w:pPr>
              <w:pStyle w:val="Heading1"/>
              <w:spacing w:after="20" w:afterAutospacing="0" w:line="240" w:lineRule="atLeast"/>
              <w:rPr>
                <w:rFonts w:ascii="Calibri" w:eastAsia="Times New Roman" w:hAnsi="Calibri" w:cs="Calibri"/>
                <w:caps/>
                <w:sz w:val="30"/>
                <w:szCs w:val="30"/>
                <w14:ligatures w14:val="none"/>
              </w:rPr>
            </w:pPr>
            <w:r>
              <w:rPr>
                <w:rFonts w:ascii="Calibri" w:eastAsia="Times New Roman" w:hAnsi="Calibri" w:cs="Calibri"/>
                <w:caps/>
                <w:sz w:val="30"/>
                <w:szCs w:val="30"/>
              </w:rPr>
              <w:t>Question</w:t>
            </w:r>
          </w:p>
        </w:tc>
      </w:tr>
      <w:tr w:rsidR="00C85342" w14:paraId="736B5A7A" w14:textId="77777777">
        <w:trPr>
          <w:divId w:val="81151574"/>
        </w:trPr>
        <w:tc>
          <w:tcPr>
            <w:tcW w:w="0" w:type="auto"/>
            <w:gridSpan w:val="2"/>
            <w:tcBorders>
              <w:bottom w:val="single" w:sz="6" w:space="0" w:color="2E74B5"/>
              <w:right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085D6" w14:textId="567E9CBD" w:rsidR="00C85342" w:rsidRPr="000F1F7C" w:rsidRDefault="000F1F7C">
            <w:pPr>
              <w:pStyle w:val="NormalWeb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F1F7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SHOULD INTRAVASCULAR VOLUME THERAPY BE USED DURING CPR FOR NON-TRAUMATIC CARDIAC ARREST?</w:t>
            </w:r>
          </w:p>
        </w:tc>
      </w:tr>
      <w:tr w:rsidR="00C85342" w14:paraId="6D5CB35B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ADE32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Population: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B2950" w14:textId="450CC820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Adults with non-traumatic cardiac arrest in any setting.</w:t>
            </w:r>
          </w:p>
        </w:tc>
      </w:tr>
      <w:tr w:rsidR="00C85342" w14:paraId="2732A800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9AD56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Intervention: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B78B6" w14:textId="4F5D3C97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Intravascular volume therapy during cardiac arrest.</w:t>
            </w:r>
          </w:p>
        </w:tc>
      </w:tr>
      <w:tr w:rsidR="00C85342" w14:paraId="16528033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3BF38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Comparison: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BC286" w14:textId="18558182" w:rsidR="00C85342" w:rsidRPr="000F1F7C" w:rsidRDefault="000F1F7C" w:rsidP="000F1F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No intravascular volume therapy or a different intravascular volume therapy during cardiac arrest (a different type, volume, or timing).</w:t>
            </w:r>
          </w:p>
        </w:tc>
      </w:tr>
      <w:tr w:rsidR="00C85342" w14:paraId="1B432E59" w14:textId="77777777" w:rsidTr="000E6661">
        <w:trPr>
          <w:divId w:val="81151574"/>
        </w:trPr>
        <w:tc>
          <w:tcPr>
            <w:tcW w:w="1800" w:type="dxa"/>
            <w:tcBorders>
              <w:bottom w:val="single" w:sz="6" w:space="0" w:color="2E74B5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CDF1E" w14:textId="77777777" w:rsidR="00C85342" w:rsidRDefault="00C005E5">
            <w:pPr>
              <w:pStyle w:val="section-name"/>
              <w:spacing w:before="0" w:beforeAutospacing="0" w:after="0" w:afterAutospacing="0" w:line="240" w:lineRule="atLeast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Main outcomes:</w:t>
            </w:r>
          </w:p>
        </w:tc>
        <w:tc>
          <w:tcPr>
            <w:tcW w:w="9000" w:type="dxa"/>
            <w:tcBorders>
              <w:bottom w:val="single" w:sz="6" w:space="0" w:color="2E74B5"/>
              <w:right w:val="single" w:sz="6" w:space="0" w:color="2E74B5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883BF" w14:textId="1000D6BF" w:rsidR="00C85342" w:rsidRPr="000F1F7C" w:rsidRDefault="000F1F7C" w:rsidP="000F1F7C">
            <w:pPr>
              <w:spacing w:after="0" w:line="240" w:lineRule="auto"/>
              <w:divId w:val="81151574"/>
              <w:rPr>
                <w:rFonts w:ascii="Calibri" w:hAnsi="Calibri" w:cs="Calibri"/>
                <w:sz w:val="20"/>
                <w:szCs w:val="20"/>
              </w:rPr>
            </w:pPr>
            <w:r w:rsidRPr="000F1F7C">
              <w:rPr>
                <w:rFonts w:ascii="Calibri" w:hAnsi="Calibri" w:cs="Calibri"/>
                <w:sz w:val="20"/>
                <w:szCs w:val="20"/>
              </w:rPr>
              <w:t>Any clinical outcome.</w:t>
            </w:r>
          </w:p>
        </w:tc>
      </w:tr>
    </w:tbl>
    <w:p w14:paraId="6987DEE5" w14:textId="77777777" w:rsidR="00C85342" w:rsidRDefault="00C005E5">
      <w:pPr>
        <w:pStyle w:val="Heading1"/>
        <w:spacing w:after="20" w:afterAutospacing="0"/>
        <w:divId w:val="278220342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Assessment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4672"/>
        <w:gridCol w:w="4672"/>
      </w:tblGrid>
      <w:tr w:rsidR="00C85342" w14:paraId="2F79E6BD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EDB9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097944102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Problem</w:t>
            </w:r>
          </w:p>
          <w:p w14:paraId="49BB3F5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097944102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problem a priority?</w:t>
            </w:r>
          </w:p>
        </w:tc>
      </w:tr>
      <w:tr w:rsidR="00C85342" w14:paraId="41A1C7E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5BD5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DCD4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8333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5FBD5C39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DE916" w14:textId="77777777" w:rsidR="00C85342" w:rsidRDefault="00C005E5">
            <w:pPr>
              <w:spacing w:line="240" w:lineRule="atLeast"/>
              <w:divId w:val="1187870071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3F5D7" w14:textId="0B88053D" w:rsidR="00C85342" w:rsidRDefault="00C005E5">
            <w:pPr>
              <w:spacing w:line="240" w:lineRule="atLeast"/>
              <w:divId w:val="1671365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Survival for cardiac arrest remains poor despite advances in resuscitation. Optimal fluid management during cardiac arrest is uncertain.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B14E5" w14:textId="4B1B0C13" w:rsidR="00C85342" w:rsidRDefault="00C352AA">
            <w:pPr>
              <w:spacing w:line="240" w:lineRule="atLeast"/>
              <w:divId w:val="80334736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This topic was prioritized given evolving evidence</w:t>
            </w:r>
            <w:r w:rsidR="00F86DF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C85342" w14:paraId="5B6403DC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7D80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50237075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Desirable Effects</w:t>
            </w:r>
          </w:p>
          <w:p w14:paraId="3C77CF99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50237075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How substantial are the desirable anticipated effects?</w:t>
            </w:r>
          </w:p>
        </w:tc>
      </w:tr>
      <w:tr w:rsidR="00C85342" w14:paraId="5D5F355D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5029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205E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8F942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647B7CDF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F0934" w14:textId="77777777" w:rsidR="00C85342" w:rsidRDefault="00C005E5">
            <w:pPr>
              <w:spacing w:line="240" w:lineRule="atLeast"/>
              <w:divId w:val="1243567877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Trivial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Small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F256F" w14:textId="6E50DA60" w:rsidR="00FC483F" w:rsidRDefault="00C005E5">
            <w:pPr>
              <w:spacing w:line="240" w:lineRule="atLeast"/>
              <w:divId w:val="1305547764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Prehospital hypertonic saline with HES</w:t>
            </w:r>
          </w:p>
          <w:p w14:paraId="3F6D3F4C" w14:textId="7ADF54F6" w:rsidR="00FC483F" w:rsidRDefault="00FC483F">
            <w:pPr>
              <w:spacing w:line="240" w:lineRule="atLeast"/>
              <w:divId w:val="130554776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Small RCTs of hypertonic saline plus hydroxyethyl starch </w:t>
            </w:r>
            <w:r w:rsidR="00667FAC">
              <w:rPr>
                <w:rFonts w:ascii="Calibri" w:eastAsia="Times New Roman" w:hAnsi="Calibri" w:cs="Calibri"/>
                <w:sz w:val="20"/>
                <w:szCs w:val="20"/>
              </w:rPr>
              <w:t xml:space="preserve">(HES)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compared to </w:t>
            </w:r>
            <w:r w:rsidR="00CA7528">
              <w:rPr>
                <w:rFonts w:ascii="Calibri" w:eastAsia="Times New Roman" w:hAnsi="Calibri" w:cs="Calibri"/>
                <w:sz w:val="20"/>
                <w:szCs w:val="20"/>
              </w:rPr>
              <w:t>HES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alone showed no benefit </w:t>
            </w:r>
            <w:r w:rsidR="0007435E">
              <w:rPr>
                <w:rFonts w:ascii="Calibri" w:eastAsia="Times New Roman" w:hAnsi="Calibri" w:cs="Calibri"/>
                <w:sz w:val="20"/>
                <w:szCs w:val="20"/>
              </w:rPr>
              <w:t>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survival to hospital admission, </w:t>
            </w:r>
            <w:r w:rsidR="00D96110">
              <w:rPr>
                <w:rFonts w:ascii="Calibri" w:eastAsia="Times New Roman" w:hAnsi="Calibri" w:cs="Calibri"/>
                <w:sz w:val="20"/>
                <w:szCs w:val="20"/>
              </w:rPr>
              <w:t>survival to hospital discharge, and favorable neurological outcome.</w:t>
            </w:r>
          </w:p>
          <w:p w14:paraId="7523CAB5" w14:textId="748A46D4" w:rsidR="0007435E" w:rsidRPr="0007435E" w:rsidRDefault="0007435E">
            <w:pPr>
              <w:spacing w:line="240" w:lineRule="atLeast"/>
              <w:divId w:val="1305547764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Prehospital infusion of cold normal saline</w:t>
            </w:r>
          </w:p>
          <w:p w14:paraId="1260D042" w14:textId="01FDFC81" w:rsidR="00C85342" w:rsidRDefault="0007435E">
            <w:pPr>
              <w:spacing w:line="240" w:lineRule="atLeast"/>
              <w:divId w:val="130554776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RCTs of prehospital infusion of cold normal saline </w:t>
            </w:r>
            <w:r w:rsidR="00F10686">
              <w:rPr>
                <w:rFonts w:ascii="Calibri" w:eastAsia="Times New Roman" w:hAnsi="Calibri" w:cs="Calibri"/>
                <w:sz w:val="20"/>
                <w:szCs w:val="20"/>
              </w:rPr>
              <w:t xml:space="preserve">compared to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standard care showed no benefit in r</w:t>
            </w:r>
            <w:r w:rsidRPr="002754AA">
              <w:rPr>
                <w:rFonts w:ascii="Calibri" w:hAnsi="Calibri" w:cs="Calibri"/>
                <w:sz w:val="20"/>
                <w:szCs w:val="20"/>
              </w:rPr>
              <w:t>eturn of spontaneous circulation</w:t>
            </w:r>
            <w:r>
              <w:rPr>
                <w:rFonts w:ascii="Calibri" w:hAnsi="Calibri" w:cs="Calibri"/>
                <w:sz w:val="20"/>
                <w:szCs w:val="20"/>
              </w:rPr>
              <w:t>, survival to hospital discharge, favorable neurological outcome, and survival at one year</w:t>
            </w:r>
            <w:r w:rsidR="0067501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40509" w14:textId="1C1FD458" w:rsidR="002A556E" w:rsidRDefault="00C005E5" w:rsidP="002A556E">
            <w:pPr>
              <w:spacing w:line="240" w:lineRule="atLeast"/>
              <w:divId w:val="6857884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</w:t>
            </w:r>
            <w:r w:rsidR="002D34E6">
              <w:rPr>
                <w:rFonts w:ascii="Calibri" w:eastAsia="Times New Roman" w:hAnsi="Calibri" w:cs="Calibri"/>
                <w:sz w:val="20"/>
                <w:szCs w:val="20"/>
              </w:rPr>
              <w:t>randomized trials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directly evaluated routine volume therapy versus no volume therapy as a resuscitation strategy. </w:t>
            </w:r>
            <w:r w:rsidR="002A556E">
              <w:rPr>
                <w:rFonts w:ascii="Calibri" w:eastAsia="Times New Roman" w:hAnsi="Calibri" w:cs="Calibri"/>
                <w:sz w:val="20"/>
                <w:szCs w:val="20"/>
              </w:rPr>
              <w:t xml:space="preserve">The trials that were identified evaluated specific interventions such as hypertonic saline with hydroxyethyl starch or rapid infusion of ice-cold crystalloids during </w:t>
            </w:r>
            <w:r w:rsidR="002D34E6">
              <w:rPr>
                <w:rFonts w:ascii="Calibri" w:eastAsia="Times New Roman" w:hAnsi="Calibri" w:cs="Calibri"/>
                <w:sz w:val="20"/>
                <w:szCs w:val="20"/>
              </w:rPr>
              <w:t>cardiopulmonary resuscitation</w:t>
            </w:r>
            <w:r w:rsidR="002A556E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27222894" w14:textId="1A01F8A6" w:rsidR="003B728E" w:rsidRPr="003B728E" w:rsidRDefault="00C005E5" w:rsidP="002A556E">
            <w:pPr>
              <w:spacing w:line="240" w:lineRule="atLeast"/>
              <w:divId w:val="6857884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cold crystalloid trials were designed to induce therapeutic hypothermia rather than for volume resuscitation purposes.</w:t>
            </w:r>
            <w:r w:rsidR="008C7B4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3B728E">
              <w:rPr>
                <w:rFonts w:ascii="Calibri" w:eastAsia="Calibri" w:hAnsi="Calibri" w:cs="Calibri"/>
                <w:sz w:val="20"/>
                <w:szCs w:val="20"/>
              </w:rPr>
              <w:t>The interpretation of these trials was limited by</w:t>
            </w:r>
            <w:r w:rsidR="003B728E"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the control group often receiv</w:t>
            </w:r>
            <w:r w:rsidR="003B728E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="003B728E"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ambient temperature fluids</w:t>
            </w:r>
            <w:r w:rsidR="003B728E">
              <w:rPr>
                <w:rFonts w:ascii="Calibri" w:eastAsia="Calibri" w:hAnsi="Calibri" w:cs="Calibri"/>
                <w:sz w:val="20"/>
                <w:szCs w:val="20"/>
              </w:rPr>
              <w:t xml:space="preserve"> in addition to ice-cold crystalloids.</w:t>
            </w:r>
          </w:p>
        </w:tc>
      </w:tr>
      <w:tr w:rsidR="00C85342" w14:paraId="3D02CF03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25F4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2146385058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Undesirable Effects</w:t>
            </w:r>
          </w:p>
          <w:p w14:paraId="6EBF53E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2146385058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How substantial are the undesirable anticipated effects?</w:t>
            </w:r>
          </w:p>
        </w:tc>
      </w:tr>
      <w:tr w:rsidR="00C85342" w14:paraId="168212EB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C76F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BAEA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811D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6D80F28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C8DBA" w14:textId="28326EFB" w:rsidR="00C85342" w:rsidRDefault="00C005E5">
            <w:pPr>
              <w:spacing w:line="240" w:lineRule="atLeast"/>
              <w:divId w:val="10923118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lastRenderedPageBreak/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1E304A"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 w:rsidR="001E30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Small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Trivial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1E304A"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 w:rsidR="001E304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335E6" w14:textId="77777777" w:rsidR="00D67D3D" w:rsidRDefault="00C005E5">
            <w:pPr>
              <w:spacing w:line="240" w:lineRule="atLeast"/>
              <w:divId w:val="135148348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Prehospital hypertonic saline with HES</w:t>
            </w:r>
          </w:p>
          <w:p w14:paraId="1DA3C5C1" w14:textId="5F2E0DF3" w:rsidR="008C7B4F" w:rsidRDefault="00C005E5">
            <w:pPr>
              <w:spacing w:line="240" w:lineRule="atLeast"/>
              <w:divId w:val="135148348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 adverse events relevant to the PICOST question were reported in these trials</w:t>
            </w:r>
            <w:r w:rsidR="00C616C6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44C54D36" w14:textId="77777777" w:rsidR="008C7B4F" w:rsidRDefault="00C005E5">
            <w:pPr>
              <w:spacing w:line="240" w:lineRule="atLeast"/>
              <w:divId w:val="135148348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Prehospital infusion of cold normal saline</w:t>
            </w:r>
          </w:p>
          <w:p w14:paraId="3D75CF91" w14:textId="6E2F6837" w:rsidR="00C85342" w:rsidRDefault="00C005E5">
            <w:pPr>
              <w:spacing w:line="240" w:lineRule="atLeast"/>
              <w:divId w:val="135148348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One RCT reported higher rates of pulmonary edema with prehospital infusion of cold normal saline compared to standard care (62/207 [10%] vs 26/227 [4.5%]; P &lt; 0.05), whereas another RCT reported no difference (7/41 [17%] vs 8/36 [22%]; P = 0.59</w:t>
            </w:r>
            <w:r w:rsidR="008C7B4F">
              <w:rPr>
                <w:rFonts w:ascii="Calibri" w:eastAsia="Times New Roman" w:hAnsi="Calibri" w:cs="Calibri"/>
                <w:sz w:val="20"/>
                <w:szCs w:val="20"/>
              </w:rPr>
              <w:t>).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AAD82" w14:textId="409A7322" w:rsidR="0067110D" w:rsidRDefault="00C005E5">
            <w:pPr>
              <w:spacing w:line="240" w:lineRule="atLeast"/>
              <w:divId w:val="1882286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Physiological concerns exist that </w:t>
            </w:r>
            <w:r w:rsidR="00863716">
              <w:rPr>
                <w:rFonts w:ascii="Calibri" w:eastAsia="Times New Roman" w:hAnsi="Calibri" w:cs="Calibri"/>
                <w:sz w:val="20"/>
                <w:szCs w:val="20"/>
              </w:rPr>
              <w:t>fluid boluses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during chest compressions may increase right atrial pressure, impair venous return, and consequently reduce coronary perfusion pressure</w:t>
            </w:r>
            <w:r w:rsidR="008C7B4F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</w:p>
          <w:p w14:paraId="6BA8D3F3" w14:textId="0F5E078F" w:rsidR="008C7B4F" w:rsidRDefault="00597FE1">
            <w:pPr>
              <w:spacing w:line="240" w:lineRule="atLeast"/>
              <w:divId w:val="1882286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Evidence for hypertonic solutions with </w:t>
            </w:r>
            <w:r w:rsidR="0094349C">
              <w:rPr>
                <w:rFonts w:ascii="Calibri" w:eastAsia="Times New Roman" w:hAnsi="Calibri" w:cs="Calibri"/>
                <w:sz w:val="20"/>
                <w:szCs w:val="20"/>
              </w:rPr>
              <w:t xml:space="preserve">hydroxyethyl starch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has limited relevance as </w:t>
            </w:r>
            <w:r w:rsidR="0094349C">
              <w:rPr>
                <w:rFonts w:ascii="Calibri" w:eastAsia="Times New Roman" w:hAnsi="Calibri" w:cs="Calibri"/>
                <w:sz w:val="20"/>
                <w:szCs w:val="20"/>
              </w:rPr>
              <w:t xml:space="preserve">hydroxyethyl starch </w:t>
            </w:r>
            <w:r w:rsidR="00D9178A">
              <w:rPr>
                <w:rFonts w:ascii="Calibri" w:eastAsia="Times New Roman" w:hAnsi="Calibri" w:cs="Calibri"/>
                <w:sz w:val="20"/>
                <w:szCs w:val="20"/>
              </w:rPr>
              <w:t xml:space="preserve">solutions </w:t>
            </w:r>
            <w:r w:rsidR="00361448"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has been withdrawn from or heavily restricted in most countries because an increased risk of </w:t>
            </w:r>
            <w:r w:rsidR="00D9178A">
              <w:rPr>
                <w:rFonts w:ascii="Calibri" w:eastAsia="Calibri" w:hAnsi="Calibri" w:cs="Calibri"/>
                <w:sz w:val="20"/>
                <w:szCs w:val="20"/>
              </w:rPr>
              <w:t xml:space="preserve">coagulopathy, </w:t>
            </w:r>
            <w:r w:rsidR="00361448" w:rsidRPr="00DD4ACF">
              <w:rPr>
                <w:rFonts w:ascii="Calibri" w:eastAsia="Calibri" w:hAnsi="Calibri" w:cs="Calibri"/>
                <w:sz w:val="20"/>
                <w:szCs w:val="20"/>
              </w:rPr>
              <w:t>acute kidney injury</w:t>
            </w:r>
            <w:r w:rsidR="00D9178A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361448"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and mortality in multiple large trials of critically ill patients</w:t>
            </w:r>
            <w:r w:rsidR="0036144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C85342" w14:paraId="4C30F4B7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A515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528563524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Certainty of evidence</w:t>
            </w:r>
          </w:p>
          <w:p w14:paraId="11A042D7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528563524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What is the overall certainty of the evidence of effects?</w:t>
            </w:r>
          </w:p>
        </w:tc>
      </w:tr>
      <w:tr w:rsidR="00C85342" w14:paraId="30A8A0E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8FCAE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25DC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4687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F9B324B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0B70C" w14:textId="77777777" w:rsidR="00C85342" w:rsidRDefault="00C005E5">
            <w:pPr>
              <w:spacing w:line="240" w:lineRule="atLeast"/>
              <w:divId w:val="1461612469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Very 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High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4B1BD" w14:textId="23A52D3C" w:rsidR="00B806DA" w:rsidRDefault="00C005E5">
            <w:pPr>
              <w:spacing w:line="240" w:lineRule="atLeast"/>
              <w:divId w:val="19497754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 certainty of evidence </w:t>
            </w:r>
            <w:r w:rsidR="00A20B20">
              <w:rPr>
                <w:rFonts w:ascii="Calibri" w:eastAsia="Times New Roman" w:hAnsi="Calibri" w:cs="Calibri"/>
                <w:sz w:val="20"/>
                <w:szCs w:val="20"/>
              </w:rPr>
              <w:t xml:space="preserve">for trials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ranged from very low to low across different comparisons and outcomes</w:t>
            </w:r>
            <w:r w:rsidR="00B806DA">
              <w:rPr>
                <w:rFonts w:ascii="Calibri" w:eastAsia="Times New Roman" w:hAnsi="Calibri" w:cs="Calibri"/>
                <w:sz w:val="20"/>
                <w:szCs w:val="20"/>
              </w:rPr>
              <w:t xml:space="preserve"> downgraded for risk of bias, indirectness, and imprecision.</w:t>
            </w:r>
          </w:p>
          <w:p w14:paraId="77EB22FE" w14:textId="5E639477" w:rsidR="00C85342" w:rsidRDefault="00C005E5">
            <w:pPr>
              <w:spacing w:line="240" w:lineRule="atLeast"/>
              <w:divId w:val="194977549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 observational studies addressing non-traumatic intra-arrest volume therapy were </w:t>
            </w:r>
            <w:r w:rsidR="00FF69A9">
              <w:rPr>
                <w:rFonts w:ascii="Calibri" w:eastAsia="Times New Roman" w:hAnsi="Calibri" w:cs="Calibri"/>
                <w:sz w:val="20"/>
                <w:szCs w:val="20"/>
              </w:rPr>
              <w:t xml:space="preserve">highly heterogeneous and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at serious or critical risk of bias</w:t>
            </w:r>
            <w:r w:rsidR="00FF69A9">
              <w:rPr>
                <w:rFonts w:ascii="Calibri" w:eastAsia="Times New Roman" w:hAnsi="Calibri" w:cs="Calibri"/>
                <w:sz w:val="20"/>
                <w:szCs w:val="20"/>
              </w:rPr>
              <w:t>, precluding meaningful meta-analysis.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A7019" w14:textId="0436C46D" w:rsidR="00C85342" w:rsidRDefault="00C85342">
            <w:pPr>
              <w:spacing w:line="240" w:lineRule="atLeast"/>
              <w:divId w:val="140348000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BAB6B0C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53E7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780077882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Values</w:t>
            </w:r>
          </w:p>
          <w:p w14:paraId="489A1F31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780077882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there important uncertainty about or variability in how much people value the main outcomes?</w:t>
            </w:r>
          </w:p>
        </w:tc>
      </w:tr>
      <w:tr w:rsidR="00C85342" w14:paraId="6950D55B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699C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743A2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A88D9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79DA997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5ECCF" w14:textId="77777777" w:rsidR="00C85342" w:rsidRDefault="00C005E5">
            <w:pPr>
              <w:spacing w:line="240" w:lineRule="atLeast"/>
              <w:divId w:val="189026713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Possibly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important uncertainty or variability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A987E" w14:textId="7DB83895" w:rsidR="00C85342" w:rsidRDefault="00C005E5">
            <w:pPr>
              <w:spacing w:line="240" w:lineRule="atLeast"/>
              <w:divId w:val="1078359136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importance of survival and neurologically intact survival is generally agreed upon</w:t>
            </w:r>
            <w:r w:rsidR="00E46707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8E4B3" w14:textId="014DFCC6" w:rsidR="00C85342" w:rsidRDefault="00C85342">
            <w:pPr>
              <w:spacing w:line="240" w:lineRule="atLeast"/>
              <w:divId w:val="920524544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44DFF272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D6BE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268657336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Balance of effects</w:t>
            </w:r>
          </w:p>
          <w:p w14:paraId="19614D52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268657336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Does the balance between desirable and undesirable effects favor the intervention or the comparison?</w:t>
            </w:r>
          </w:p>
        </w:tc>
      </w:tr>
      <w:tr w:rsidR="00C85342" w14:paraId="6FB6D06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4C6F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203D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A309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416A765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58DBA" w14:textId="77777777" w:rsidR="00C85342" w:rsidRDefault="00C005E5">
            <w:pPr>
              <w:spacing w:line="240" w:lineRule="atLeast"/>
              <w:divId w:val="4815074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lastRenderedPageBreak/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Does not favor either the intervention or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B0D15" w14:textId="029387DC" w:rsidR="00C85342" w:rsidRDefault="00C005E5">
            <w:pPr>
              <w:spacing w:line="240" w:lineRule="atLeast"/>
              <w:divId w:val="808597987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available evidence does not show any benefit from routine intravascular volume therapy during CPR for non-traumatic cardiac arrest.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1C9C7" w14:textId="2AA89140" w:rsidR="00C85342" w:rsidRDefault="00C005E5">
            <w:pPr>
              <w:spacing w:line="240" w:lineRule="atLeast"/>
              <w:divId w:val="128804889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Physiological concerns about impaired coronary perfusion with fluid boluses during chest compressions, combined with lack of benefit, suggest the balance probably favors no routine volume therapy in normovolemic patients.</w:t>
            </w:r>
          </w:p>
        </w:tc>
      </w:tr>
      <w:tr w:rsidR="00C85342" w14:paraId="3F07F4C9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087D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63918646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Resources required</w:t>
            </w:r>
          </w:p>
        </w:tc>
      </w:tr>
      <w:tr w:rsidR="00C85342" w14:paraId="4016607D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686E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23B7D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0EFA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63204FC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06331" w14:textId="77777777" w:rsidR="00C85342" w:rsidRDefault="00C005E5">
            <w:pPr>
              <w:spacing w:line="240" w:lineRule="atLeast"/>
              <w:divId w:val="193131293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 costs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 costs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Negligible costs and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Large savings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A2918" w14:textId="769AB25C" w:rsidR="00C85342" w:rsidRDefault="00584668">
            <w:pPr>
              <w:spacing w:line="240" w:lineRule="atLeast"/>
              <w:divId w:val="52089712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</w:t>
            </w:r>
            <w:r w:rsidR="00194D8C">
              <w:rPr>
                <w:rFonts w:ascii="Calibri" w:eastAsia="Times New Roman" w:hAnsi="Calibri" w:cs="Calibri"/>
                <w:sz w:val="20"/>
                <w:szCs w:val="20"/>
              </w:rPr>
              <w:t>rystalloi</w:t>
            </w:r>
            <w:r w:rsidR="00216610">
              <w:rPr>
                <w:rFonts w:ascii="Calibri" w:eastAsia="Times New Roman" w:hAnsi="Calibri" w:cs="Calibri"/>
                <w:sz w:val="20"/>
                <w:szCs w:val="20"/>
              </w:rPr>
              <w:t>d solutions</w:t>
            </w:r>
            <w:r w:rsidR="00194D8C">
              <w:rPr>
                <w:rFonts w:ascii="Calibri" w:eastAsia="Times New Roman" w:hAnsi="Calibri" w:cs="Calibri"/>
                <w:sz w:val="20"/>
                <w:szCs w:val="20"/>
              </w:rPr>
              <w:t xml:space="preserve"> are low-cost </w:t>
            </w:r>
            <w:r w:rsidR="002A3704">
              <w:rPr>
                <w:rFonts w:ascii="Calibri" w:eastAsia="Times New Roman" w:hAnsi="Calibri" w:cs="Calibri"/>
                <w:sz w:val="20"/>
                <w:szCs w:val="20"/>
              </w:rPr>
              <w:t>in most settings</w:t>
            </w:r>
            <w:r w:rsidR="00C21978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72C7A" w14:textId="3C4544AC" w:rsidR="00C85342" w:rsidRDefault="00C85342">
            <w:pPr>
              <w:spacing w:line="240" w:lineRule="atLeast"/>
              <w:divId w:val="93062646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0599645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6080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70074079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Certainty of evidence of required resources</w:t>
            </w:r>
          </w:p>
          <w:p w14:paraId="049E84CE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700740799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What is the certainty of the evidence of resource requirements (costs)?</w:t>
            </w:r>
          </w:p>
        </w:tc>
      </w:tr>
      <w:tr w:rsidR="00C85342" w14:paraId="3448579C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6C13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E2C6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A165B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6C6EFAD" w14:textId="77777777" w:rsidTr="00C005E5">
        <w:trPr>
          <w:divId w:val="278220342"/>
          <w:trHeight w:val="3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5B823" w14:textId="77777777" w:rsidR="00C85342" w:rsidRDefault="00C005E5">
            <w:pPr>
              <w:spacing w:line="240" w:lineRule="atLeast"/>
              <w:divId w:val="203877242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Very 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Low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Moderate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High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606F5" w14:textId="1AD1F6D7" w:rsidR="00C85342" w:rsidRDefault="00BB78BA">
            <w:pPr>
              <w:spacing w:line="240" w:lineRule="atLeast"/>
              <w:divId w:val="20174710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</w:t>
            </w:r>
            <w:r w:rsidR="004C6F3B">
              <w:rPr>
                <w:rFonts w:ascii="Calibri" w:eastAsia="Times New Roman" w:hAnsi="Calibri" w:cs="Calibri"/>
                <w:sz w:val="20"/>
                <w:szCs w:val="20"/>
              </w:rPr>
              <w:t>relevant studies were identified.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5C296" w14:textId="3FC6547D" w:rsidR="00C85342" w:rsidRDefault="00C85342">
            <w:pPr>
              <w:spacing w:line="240" w:lineRule="atLeast"/>
              <w:divId w:val="18116299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30F8157E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58B0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591160606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Cost effectiveness</w:t>
            </w:r>
          </w:p>
          <w:p w14:paraId="59125FF5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591160606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Does the cost-effectiveness of the intervention favor the intervention or the comparison?</w:t>
            </w:r>
          </w:p>
        </w:tc>
      </w:tr>
      <w:tr w:rsidR="00C85342" w14:paraId="23AAEC29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D544C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7B30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D434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30E41EB1" w14:textId="77777777" w:rsidTr="00C005E5">
        <w:trPr>
          <w:divId w:val="278220342"/>
          <w:trHeight w:val="2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2B3EA" w14:textId="77777777" w:rsidR="00C85342" w:rsidRDefault="00C005E5">
            <w:pPr>
              <w:spacing w:line="240" w:lineRule="atLeast"/>
              <w:divId w:val="121708218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lastRenderedPageBreak/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Does not favor either the intervention or the comparison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Favors the intervention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 included studies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CFBBE" w14:textId="2B9F0205" w:rsidR="00C85342" w:rsidRDefault="00090AED">
            <w:pPr>
              <w:spacing w:line="240" w:lineRule="atLeast"/>
              <w:divId w:val="190606065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cost-effectiveness </w:t>
            </w:r>
            <w:r w:rsidR="000D60E6">
              <w:rPr>
                <w:rFonts w:ascii="Calibri" w:eastAsia="Times New Roman" w:hAnsi="Calibri" w:cs="Calibri"/>
                <w:sz w:val="20"/>
                <w:szCs w:val="20"/>
              </w:rPr>
              <w:t>data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were identified</w:t>
            </w:r>
            <w:r w:rsidR="000D60E6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25282" w14:textId="6F5D95D4" w:rsidR="00C85342" w:rsidRDefault="00C85342">
            <w:pPr>
              <w:spacing w:line="240" w:lineRule="atLeast"/>
              <w:divId w:val="1458599536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596C8DEB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A417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336345647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Equity</w:t>
            </w:r>
          </w:p>
          <w:p w14:paraId="7F2F6CC4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336345647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What would be the impact on health equity?</w:t>
            </w:r>
          </w:p>
        </w:tc>
      </w:tr>
      <w:tr w:rsidR="00C85342" w14:paraId="0FBAE86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D4DCF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EC51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B8A0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55CF5694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20080" w14:textId="77777777" w:rsidR="00C85342" w:rsidRDefault="00C005E5">
            <w:pPr>
              <w:spacing w:line="240" w:lineRule="atLeast"/>
              <w:divId w:val="448938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Reduced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reduced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 impact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increased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Increased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9F383" w14:textId="39AC1267" w:rsidR="00C85342" w:rsidRDefault="005E3D48">
            <w:pPr>
              <w:spacing w:line="240" w:lineRule="atLeast"/>
              <w:divId w:val="160649941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Standard crystalloid solutions are widely available in most prehospital and hospital settings.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FA73B" w14:textId="227426EA" w:rsidR="00C85342" w:rsidRDefault="00C85342">
            <w:pPr>
              <w:spacing w:line="240" w:lineRule="atLeast"/>
              <w:divId w:val="2819621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85342" w14:paraId="467032D4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9506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443580029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Acceptability</w:t>
            </w:r>
          </w:p>
          <w:p w14:paraId="47CE0A5B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443580029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intervention acceptable to key interest-holders?</w:t>
            </w:r>
          </w:p>
        </w:tc>
      </w:tr>
      <w:tr w:rsidR="00C85342" w14:paraId="012BDAA1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ACCD3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0A461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EDC0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422295AF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EFD20" w14:textId="5EBB86F2" w:rsidR="00C85342" w:rsidRDefault="00C005E5">
            <w:pPr>
              <w:spacing w:line="240" w:lineRule="atLeast"/>
              <w:divId w:val="176976595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 w:rsidR="004533DB"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 w:rsidR="004533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 w:rsidR="009A32FE"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br/>
            </w:r>
            <w:r w:rsidR="004533DB"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 w:rsidR="004533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175AA" w14:textId="607D246D" w:rsidR="004533DB" w:rsidRDefault="008079EE">
            <w:pPr>
              <w:spacing w:line="240" w:lineRule="atLeast"/>
              <w:divId w:val="928000813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 relevant studies were identified.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BD335" w14:textId="01A01D1F" w:rsidR="00AA40D5" w:rsidRPr="00AA40D5" w:rsidRDefault="009B45F2" w:rsidP="00264648">
            <w:pPr>
              <w:pStyle w:val="p1"/>
              <w:divId w:val="5875464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Most interventions considered are currently used in clinical practice and are likely acceptable to stakeholders</w:t>
            </w:r>
            <w:r w:rsidR="00AA40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85342" w14:paraId="525D0662" w14:textId="77777777">
        <w:trPr>
          <w:divId w:val="2782203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36F6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889219430"/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FFFFFF"/>
                <w:sz w:val="26"/>
                <w:szCs w:val="26"/>
              </w:rPr>
              <w:t>Feasibility</w:t>
            </w:r>
          </w:p>
          <w:p w14:paraId="65AA53C8" w14:textId="77777777" w:rsidR="00C85342" w:rsidRDefault="00C005E5">
            <w:pPr>
              <w:pStyle w:val="Subtitle1"/>
              <w:spacing w:before="0" w:beforeAutospacing="0" w:after="0" w:afterAutospacing="0" w:line="240" w:lineRule="atLeast"/>
              <w:divId w:val="1889219430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Is the intervention feasible to implement?</w:t>
            </w:r>
          </w:p>
        </w:tc>
      </w:tr>
      <w:tr w:rsidR="00C85342" w14:paraId="120ECBDA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AB890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Judgement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759C8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Research evidence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35F4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ap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aps/>
                <w:sz w:val="16"/>
                <w:szCs w:val="16"/>
              </w:rPr>
              <w:t>Additional considerations</w:t>
            </w:r>
          </w:p>
        </w:tc>
      </w:tr>
      <w:tr w:rsidR="00C85342" w14:paraId="29983A86" w14:textId="77777777" w:rsidTr="00C005E5">
        <w:trPr>
          <w:divId w:val="278220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F277C" w14:textId="77777777" w:rsidR="00C85342" w:rsidRDefault="00C005E5">
            <w:pPr>
              <w:spacing w:line="240" w:lineRule="atLeast"/>
              <w:divId w:val="136251237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no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checked-marker"/>
                <w:rFonts w:ascii="Calibri" w:eastAsia="Times New Roman" w:hAnsi="Calibri" w:cs="Calibri"/>
                <w:sz w:val="20"/>
                <w:szCs w:val="20"/>
              </w:rPr>
              <w:t>●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Probably 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Yes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lastRenderedPageBreak/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Varies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  <w:r>
              <w:rPr>
                <w:rStyle w:val="unchecked-marker"/>
                <w:rFonts w:ascii="Calibri" w:eastAsia="Times New Roman" w:hAnsi="Calibri" w:cs="Calibri"/>
                <w:sz w:val="20"/>
                <w:szCs w:val="20"/>
              </w:rPr>
              <w:t>○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Style w:val="ep-radiobuttonlabel"/>
                <w:rFonts w:ascii="Calibri" w:eastAsia="Times New Roman" w:hAnsi="Calibri" w:cs="Calibri"/>
                <w:sz w:val="20"/>
                <w:szCs w:val="20"/>
              </w:rPr>
              <w:t>Don't know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AB037" w14:textId="0222350E" w:rsidR="00C85342" w:rsidRDefault="00972097">
            <w:pPr>
              <w:spacing w:line="240" w:lineRule="atLeast"/>
              <w:divId w:val="186220326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Standard crystalloid solutions are widely available in most prehospital and hospital settings.</w:t>
            </w:r>
          </w:p>
        </w:tc>
        <w:tc>
          <w:tcPr>
            <w:tcW w:w="2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70499" w14:textId="2E3EBD96" w:rsidR="00C85342" w:rsidRDefault="00C85342">
            <w:pPr>
              <w:spacing w:line="240" w:lineRule="atLeast"/>
              <w:divId w:val="134076648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009F175" w14:textId="77777777" w:rsidR="00C85342" w:rsidRDefault="00C005E5">
      <w:pPr>
        <w:pStyle w:val="Heading1"/>
        <w:spacing w:after="20" w:afterAutospacing="0"/>
        <w:divId w:val="2073458618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Summary of judgements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342"/>
        <w:gridCol w:w="1356"/>
        <w:gridCol w:w="1379"/>
        <w:gridCol w:w="1379"/>
        <w:gridCol w:w="1379"/>
        <w:gridCol w:w="1017"/>
        <w:gridCol w:w="1167"/>
      </w:tblGrid>
      <w:tr w:rsidR="00C85342" w14:paraId="497B2D71" w14:textId="77777777">
        <w:trPr>
          <w:divId w:val="1989429938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F9FC" w14:textId="77777777" w:rsidR="00C85342" w:rsidRDefault="00C85342">
            <w:pPr>
              <w:rPr>
                <w:rFonts w:ascii="Calibri" w:eastAsia="Times New Roman" w:hAnsi="Calibri" w:cs="Calibri"/>
                <w:caps/>
                <w:color w:val="000000"/>
                <w:sz w:val="30"/>
                <w:szCs w:val="30"/>
                <w:lang w:val="en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30246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8"/>
                <w:szCs w:val="28"/>
              </w:rPr>
              <w:t>Judgement</w:t>
            </w:r>
          </w:p>
        </w:tc>
      </w:tr>
      <w:tr w:rsidR="00C85342" w14:paraId="735EF3EB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2531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Problem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73D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DB01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CDFA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2BA1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44F7" w14:textId="77777777" w:rsidR="00C85342" w:rsidRDefault="00C8534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79E4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109B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5AE47D47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065ED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Desirable Effects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2E9A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Trivial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95F44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Small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879C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4014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1AE1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AE1D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790A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546723" w14:paraId="188888C5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6F253" w14:textId="77777777" w:rsidR="00546723" w:rsidRDefault="00546723" w:rsidP="00546723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Undesirable Effects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1259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C303" w14:textId="1AE8947E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2C66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Small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50485" w14:textId="77777777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Trivial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3663" w14:textId="77777777" w:rsidR="00546723" w:rsidRDefault="00546723" w:rsidP="00546723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4629" w14:textId="108C9D63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A76B3" w14:textId="7E03B0DB" w:rsidR="00546723" w:rsidRDefault="00546723" w:rsidP="00546723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52ABD55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3BBF1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Certainty of evidence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DE63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Very low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69C41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Low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5719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3B3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High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0D38C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7388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D01C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 included studies</w:t>
            </w:r>
          </w:p>
        </w:tc>
      </w:tr>
      <w:tr w:rsidR="00C85342" w14:paraId="3CBB4D08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E5800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Values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B49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Important uncertainty or variability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E93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Possibly important uncertainty or variability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B854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no important uncertainty or variability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E1DB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 important uncertainty or variability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70651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A2F8A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E7A01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85342" w14:paraId="6FC87E2B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70F7C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Balance of effects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9F13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comparison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8D8A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favors the comparison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4AC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Does not favor either the intervention or the comparison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0167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intervention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EE8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intervention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EAC2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3E7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6365988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20E5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Resources required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E9E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 costs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0E5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 costs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128F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Negligible costs and savings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DF03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 savings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4347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Large savings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D503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BDE9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1818CB52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B615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Certainty of evidence of required resources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7314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Very low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9341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Low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7B3B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Moderate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1448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High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9EF3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C64A" w14:textId="77777777" w:rsidR="00C85342" w:rsidRDefault="00C85342">
            <w:pPr>
              <w:spacing w:line="24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E1F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included studies</w:t>
            </w:r>
          </w:p>
        </w:tc>
      </w:tr>
      <w:tr w:rsidR="00C85342" w14:paraId="4FF10A59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CA6E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Cost effectiveness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E95E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comparison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BF9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comparison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53F40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Does not favor either the intervention or the comparison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5F0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favors the intervention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7526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Favors the intervention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F1F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395A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included studies</w:t>
            </w:r>
          </w:p>
        </w:tc>
      </w:tr>
      <w:tr w:rsidR="00C85342" w14:paraId="762F2159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6DAA3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Equity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E850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Reduced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CB2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reduced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7FD3F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no impact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B133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increased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B05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Increased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F75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C964E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611B6A62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4C92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Acceptability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92C79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BD09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EC26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5633A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C988A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4B242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7CCC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  <w:tr w:rsidR="00C85342" w14:paraId="46099C47" w14:textId="77777777" w:rsidTr="00546723">
        <w:trPr>
          <w:divId w:val="198942993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D2E5B" w14:textId="77777777" w:rsidR="00C85342" w:rsidRDefault="00C005E5">
            <w:pPr>
              <w:pStyle w:val="NormalWeb"/>
              <w:spacing w:before="0" w:beforeAutospacing="0" w:after="0" w:afterAutospacing="0" w:line="260" w:lineRule="atLeast"/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 w:val="20"/>
                <w:szCs w:val="20"/>
              </w:rPr>
              <w:t>Feasibility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84375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No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0B6A6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Probably no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BBB4D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Probably 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26E7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Yes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5304" w14:textId="77777777" w:rsidR="00C85342" w:rsidRDefault="00C85342">
            <w:pPr>
              <w:rPr>
                <w:rFonts w:ascii="Calibri" w:hAnsi="Calibri" w:cs="Calibri"/>
                <w:color w:val="AEAAA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FBE43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Varies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C2D8" w14:textId="77777777" w:rsidR="00C85342" w:rsidRDefault="00C005E5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AEAAAA"/>
                <w:sz w:val="20"/>
                <w:szCs w:val="20"/>
              </w:rPr>
            </w:pPr>
            <w:r>
              <w:rPr>
                <w:rFonts w:ascii="Calibri" w:hAnsi="Calibri" w:cs="Calibri"/>
                <w:color w:val="AEAAAA"/>
                <w:sz w:val="20"/>
                <w:szCs w:val="20"/>
              </w:rPr>
              <w:t>Don't know</w:t>
            </w:r>
          </w:p>
        </w:tc>
      </w:tr>
    </w:tbl>
    <w:p w14:paraId="79BD3864" w14:textId="77777777" w:rsidR="00C85342" w:rsidRDefault="00C85342">
      <w:pPr>
        <w:divId w:val="904296540"/>
        <w:rPr>
          <w:rFonts w:ascii="Calibri" w:eastAsia="Times New Roman" w:hAnsi="Calibri" w:cs="Calibri"/>
          <w:color w:val="000000"/>
          <w:sz w:val="16"/>
          <w:szCs w:val="16"/>
          <w:lang w:val="en"/>
        </w:rPr>
      </w:pPr>
    </w:p>
    <w:p w14:paraId="6B29440B" w14:textId="77777777" w:rsidR="00C85342" w:rsidRDefault="00C005E5">
      <w:pPr>
        <w:pStyle w:val="Heading1"/>
        <w:spacing w:after="20" w:afterAutospacing="0"/>
        <w:divId w:val="68159168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Type of recommendation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</w:tblGrid>
      <w:tr w:rsidR="00C85342" w14:paraId="0B64C1D3" w14:textId="77777777">
        <w:trPr>
          <w:divId w:val="807817698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2924539B" w14:textId="77777777" w:rsidR="00C85342" w:rsidRDefault="00C005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Strong recommendation against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2E74B5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71A833A7" w14:textId="77777777" w:rsidR="00C85342" w:rsidRDefault="00C005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Conditional recommendation against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5CD27F68" w14:textId="77777777" w:rsidR="00C85342" w:rsidRDefault="00C005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Conditional recommendation for either the intervention or the comparison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126EAEA6" w14:textId="77777777" w:rsidR="00C85342" w:rsidRDefault="00C005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Conditional recommendation for the intervention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14:paraId="3B2EBF11" w14:textId="77777777" w:rsidR="00C85342" w:rsidRDefault="00C005E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Strong recommendation for the intervention</w:t>
            </w:r>
          </w:p>
        </w:tc>
      </w:tr>
      <w:tr w:rsidR="00C85342" w14:paraId="234CBAAF" w14:textId="77777777" w:rsidTr="00943223">
        <w:trPr>
          <w:divId w:val="807817698"/>
          <w:trHeight w:val="396"/>
        </w:trPr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36C7C8B" w14:textId="77777777" w:rsidR="00C85342" w:rsidRDefault="00C005E5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74B5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3F29F82" w14:textId="77777777" w:rsidR="00C85342" w:rsidRDefault="00C005E5">
            <w:pPr>
              <w:pStyle w:val="marker"/>
              <w:spacing w:before="0" w:beforeAutospacing="0" w:after="0" w:afterAutospacing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●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DDE3536" w14:textId="77777777" w:rsidR="00C85342" w:rsidRDefault="00C005E5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0AC438B" w14:textId="77777777" w:rsidR="00C85342" w:rsidRDefault="00C005E5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BA7E6C3" w14:textId="77777777" w:rsidR="00C85342" w:rsidRDefault="00C005E5">
            <w:pPr>
              <w:pStyle w:val="marker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○ </w:t>
            </w:r>
          </w:p>
        </w:tc>
      </w:tr>
    </w:tbl>
    <w:p w14:paraId="629D5FA2" w14:textId="77777777" w:rsidR="00C85342" w:rsidRDefault="00C005E5">
      <w:pPr>
        <w:pStyle w:val="Heading1"/>
        <w:spacing w:after="20" w:afterAutospacing="0"/>
        <w:divId w:val="1598051812"/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</w:pPr>
      <w:r>
        <w:rPr>
          <w:rFonts w:ascii="Calibri" w:eastAsia="Times New Roman" w:hAnsi="Calibri" w:cs="Calibri"/>
          <w:caps/>
          <w:color w:val="000000"/>
          <w:sz w:val="30"/>
          <w:szCs w:val="30"/>
          <w:lang w:val="en"/>
        </w:rPr>
        <w:t>Conclusions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85342" w14:paraId="7B35AB04" w14:textId="77777777">
        <w:trPr>
          <w:divId w:val="170529270"/>
        </w:trPr>
        <w:tc>
          <w:tcPr>
            <w:tcW w:w="0" w:type="auto"/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AB885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Recommendation</w:t>
            </w:r>
          </w:p>
        </w:tc>
      </w:tr>
      <w:tr w:rsidR="00C85342" w14:paraId="65E6CE80" w14:textId="77777777">
        <w:trPr>
          <w:divId w:val="17052927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C1659" w14:textId="054A4933" w:rsidR="003D628A" w:rsidRDefault="003D628A" w:rsidP="003D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divId w:val="808085784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We suggest against the routine use of intravascular volume therapy during cardiopulmonary resuscitation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in patients with</w:t>
            </w: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undifferentiated </w:t>
            </w:r>
            <w:r w:rsidRPr="00DD4ACF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non-traumatic cardiac arrest (weak recommendation, very low-certainty evidence).</w:t>
            </w:r>
          </w:p>
          <w:p w14:paraId="062CB0CA" w14:textId="6C95FDAD" w:rsidR="003D628A" w:rsidRDefault="003D628A" w:rsidP="003D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divId w:val="808085784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We recommend against the use of hydroxyethyl starch solutions during </w:t>
            </w:r>
            <w:r w:rsidRPr="002754AA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cardiopulmonary resuscitation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or after </w:t>
            </w:r>
            <w:r w:rsidRPr="002754AA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return of spontaneous circulation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(strong recommendation, very low-certainty evidence).</w:t>
            </w:r>
          </w:p>
          <w:p w14:paraId="54EEBD73" w14:textId="04B844A2" w:rsidR="00530731" w:rsidRPr="003D628A" w:rsidRDefault="003D628A" w:rsidP="003D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divId w:val="808085784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If clinical circumstances indicate that the patient was hypovolemic prior to the cardiac arrest, volume therapy may be reasonable (Good Practice Statement).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85342" w14:paraId="52EC8DC0" w14:textId="77777777">
        <w:trPr>
          <w:divId w:val="183566641"/>
        </w:trPr>
        <w:tc>
          <w:tcPr>
            <w:tcW w:w="0" w:type="auto"/>
            <w:shd w:val="clear" w:color="auto" w:fill="2E74B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CE9A7" w14:textId="77777777" w:rsidR="00C85342" w:rsidRDefault="00C005E5">
            <w:pPr>
              <w:pStyle w:val="Heading2"/>
              <w:spacing w:before="0" w:beforeAutospacing="0" w:after="0" w:afterAutospacing="0" w:line="240" w:lineRule="atLeast"/>
              <w:divId w:val="176042643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Justification</w:t>
            </w:r>
          </w:p>
        </w:tc>
      </w:tr>
      <w:tr w:rsidR="00C85342" w14:paraId="53689186" w14:textId="77777777">
        <w:trPr>
          <w:divId w:val="183566641"/>
          <w:trHeight w:val="108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9D9EB" w14:textId="2A994D3F" w:rsidR="00C85342" w:rsidRDefault="00C005E5">
            <w:pPr>
              <w:pStyle w:val="public-draftstyledefault-unorderedlistitem"/>
              <w:numPr>
                <w:ilvl w:val="0"/>
                <w:numId w:val="1"/>
              </w:numPr>
              <w:spacing w:line="24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The systematic review identified no randomized trials that directly evaluated routine volume therapy versus no volume therapy as a resuscitation strategy. The trials that were identified evaluated specific interventions such as hypertonic saline with hydroxyethyl starch or rapid infusion of ice-cold crystalloids during </w:t>
            </w:r>
            <w:r w:rsidR="002D34E6">
              <w:rPr>
                <w:rFonts w:ascii="Calibri" w:eastAsia="Times New Roman" w:hAnsi="Calibri" w:cs="Calibri"/>
                <w:sz w:val="20"/>
                <w:szCs w:val="20"/>
              </w:rPr>
              <w:t>cardiopulmonary resuscitation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244A1F90" w14:textId="4FEBFB26" w:rsidR="00ED5C48" w:rsidRPr="00067E4F" w:rsidRDefault="00ED5C48">
            <w:pPr>
              <w:pStyle w:val="public-draftstyledefault-unorderedlistitem"/>
              <w:numPr>
                <w:ilvl w:val="0"/>
                <w:numId w:val="1"/>
              </w:numPr>
              <w:spacing w:line="240" w:lineRule="atLeast"/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There are physiological concerns that fluid boluses during chest compressions may increase right atrial pressure, impair venous return, and consequently reduce coronary perfusion pressure</w:t>
            </w:r>
            <w:r w:rsidR="004D42C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25AFEEA" w14:textId="7971F29D" w:rsidR="00067E4F" w:rsidRPr="00976A0C" w:rsidRDefault="00067E4F" w:rsidP="00067E4F">
            <w:pPr>
              <w:pStyle w:val="public-draftstyledefault-unorderedlistitem"/>
              <w:numPr>
                <w:ilvl w:val="0"/>
                <w:numId w:val="1"/>
              </w:numPr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Trials evaluating rapid infusion of ice-cold crystalloids were designed to induce therapeutic hypothermia rather than evaluate volume resuscitation. </w:t>
            </w:r>
            <w:r w:rsidR="001B0A3C" w:rsidRPr="00976A0C">
              <w:rPr>
                <w:rFonts w:ascii="Calibri" w:eastAsia="Calibri" w:hAnsi="Calibri" w:cs="Calibri"/>
                <w:sz w:val="20"/>
                <w:szCs w:val="20"/>
              </w:rPr>
              <w:t>The interpretation of these trials was limited by the control group often receiving ambient temperature fluids in addition to ice-cold crystalloids.</w:t>
            </w:r>
          </w:p>
          <w:p w14:paraId="225720EE" w14:textId="57F0F44D" w:rsidR="00207A81" w:rsidRPr="00207A81" w:rsidRDefault="00207A81" w:rsidP="008B0AC7">
            <w:pPr>
              <w:pStyle w:val="public-draftstyledefault-unorderedlistitem"/>
              <w:numPr>
                <w:ilvl w:val="0"/>
                <w:numId w:val="1"/>
              </w:numPr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D4ACF">
              <w:rPr>
                <w:rFonts w:ascii="Calibri" w:eastAsia="Calibri" w:hAnsi="Calibri" w:cs="Calibri"/>
                <w:sz w:val="20"/>
                <w:szCs w:val="20"/>
              </w:rPr>
              <w:t>Hydroxyethyl starch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solutions, regardless of their formulation (such as Hespan, HAES-steril, and Voluven), have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been withdrawn from or heavily restricted in most countries because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 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an increased risk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coagulopathy, 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>acute kidney injury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DD4ACF">
              <w:rPr>
                <w:rFonts w:ascii="Calibri" w:eastAsia="Calibri" w:hAnsi="Calibri" w:cs="Calibri"/>
                <w:sz w:val="20"/>
                <w:szCs w:val="20"/>
              </w:rPr>
              <w:t xml:space="preserve"> and mortality in multiple large trials of critically ill patients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58D28F1" w14:textId="6D77A739" w:rsidR="00C85342" w:rsidRPr="008B0AC7" w:rsidRDefault="00195D45" w:rsidP="008B0AC7">
            <w:pPr>
              <w:pStyle w:val="public-draftstyledefault-unorderedlistitem"/>
              <w:numPr>
                <w:ilvl w:val="0"/>
                <w:numId w:val="1"/>
              </w:numPr>
              <w:divId w:val="52567780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6A0C">
              <w:rPr>
                <w:rFonts w:ascii="Calibri" w:eastAsia="Times New Roman" w:hAnsi="Calibri" w:cs="Calibri"/>
                <w:sz w:val="20"/>
                <w:szCs w:val="20"/>
              </w:rPr>
              <w:t>The observational studies were all at serious or critical risk of bias and evaluated highly heterogeneous populations and interventions. These studies gener</w:t>
            </w:r>
            <w:r w:rsidRPr="007D7263">
              <w:rPr>
                <w:rFonts w:ascii="Calibri" w:eastAsia="Times New Roman" w:hAnsi="Calibri" w:cs="Calibri"/>
                <w:sz w:val="20"/>
                <w:szCs w:val="20"/>
              </w:rPr>
              <w:t>ally found no consistent association between volume therapy and outcomes.</w:t>
            </w:r>
          </w:p>
        </w:tc>
      </w:tr>
    </w:tbl>
    <w:p w14:paraId="2EB8C69A" w14:textId="77777777" w:rsidR="00BB3B2D" w:rsidRDefault="00BB3B2D" w:rsidP="00EE1641">
      <w:pPr>
        <w:divId w:val="183566641"/>
        <w:rPr>
          <w:rFonts w:eastAsia="Times New Roman"/>
        </w:rPr>
      </w:pPr>
    </w:p>
    <w:sectPr w:rsidR="00BB3B2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0076"/>
    <w:multiLevelType w:val="multilevel"/>
    <w:tmpl w:val="DD22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E"/>
    <w:rsid w:val="00035335"/>
    <w:rsid w:val="00052405"/>
    <w:rsid w:val="0005262D"/>
    <w:rsid w:val="000612E8"/>
    <w:rsid w:val="00067E4F"/>
    <w:rsid w:val="0007261A"/>
    <w:rsid w:val="0007435E"/>
    <w:rsid w:val="000867B1"/>
    <w:rsid w:val="00090AED"/>
    <w:rsid w:val="000D4961"/>
    <w:rsid w:val="000D60E6"/>
    <w:rsid w:val="000D6222"/>
    <w:rsid w:val="000E2599"/>
    <w:rsid w:val="000E6661"/>
    <w:rsid w:val="000F1F7C"/>
    <w:rsid w:val="000F4618"/>
    <w:rsid w:val="00106374"/>
    <w:rsid w:val="0011796D"/>
    <w:rsid w:val="00132D4F"/>
    <w:rsid w:val="00135CC3"/>
    <w:rsid w:val="001838E0"/>
    <w:rsid w:val="00194D8C"/>
    <w:rsid w:val="00195D45"/>
    <w:rsid w:val="001B0A3C"/>
    <w:rsid w:val="001D21B0"/>
    <w:rsid w:val="001D2EE1"/>
    <w:rsid w:val="001E27F2"/>
    <w:rsid w:val="001E304A"/>
    <w:rsid w:val="00206ADB"/>
    <w:rsid w:val="00207A81"/>
    <w:rsid w:val="00216610"/>
    <w:rsid w:val="002348C3"/>
    <w:rsid w:val="0024563B"/>
    <w:rsid w:val="00247D4B"/>
    <w:rsid w:val="00264648"/>
    <w:rsid w:val="002A3704"/>
    <w:rsid w:val="002A556E"/>
    <w:rsid w:val="002D34E6"/>
    <w:rsid w:val="002F0A39"/>
    <w:rsid w:val="00306B3C"/>
    <w:rsid w:val="00337D02"/>
    <w:rsid w:val="00361448"/>
    <w:rsid w:val="003772D3"/>
    <w:rsid w:val="00383070"/>
    <w:rsid w:val="003B4042"/>
    <w:rsid w:val="003B728E"/>
    <w:rsid w:val="003D628A"/>
    <w:rsid w:val="003E7192"/>
    <w:rsid w:val="00402161"/>
    <w:rsid w:val="00407A32"/>
    <w:rsid w:val="004533DB"/>
    <w:rsid w:val="0049554E"/>
    <w:rsid w:val="004C3749"/>
    <w:rsid w:val="004C6F3B"/>
    <w:rsid w:val="004D42C4"/>
    <w:rsid w:val="00524B6C"/>
    <w:rsid w:val="00530731"/>
    <w:rsid w:val="00544855"/>
    <w:rsid w:val="00546723"/>
    <w:rsid w:val="00551408"/>
    <w:rsid w:val="005603EA"/>
    <w:rsid w:val="00584668"/>
    <w:rsid w:val="00584AFD"/>
    <w:rsid w:val="00597FE1"/>
    <w:rsid w:val="005E3D48"/>
    <w:rsid w:val="005E5EF1"/>
    <w:rsid w:val="005F393D"/>
    <w:rsid w:val="006115ED"/>
    <w:rsid w:val="00667FAC"/>
    <w:rsid w:val="0067110D"/>
    <w:rsid w:val="00675012"/>
    <w:rsid w:val="006765C8"/>
    <w:rsid w:val="00682FB9"/>
    <w:rsid w:val="006C1CB7"/>
    <w:rsid w:val="006C2101"/>
    <w:rsid w:val="006D182F"/>
    <w:rsid w:val="006D7D07"/>
    <w:rsid w:val="00734A5D"/>
    <w:rsid w:val="00801BE4"/>
    <w:rsid w:val="0080519D"/>
    <w:rsid w:val="008079EE"/>
    <w:rsid w:val="00853C33"/>
    <w:rsid w:val="0086052D"/>
    <w:rsid w:val="00863716"/>
    <w:rsid w:val="008679F3"/>
    <w:rsid w:val="00872FF5"/>
    <w:rsid w:val="00896695"/>
    <w:rsid w:val="008A1419"/>
    <w:rsid w:val="008B0AC7"/>
    <w:rsid w:val="008C7B4F"/>
    <w:rsid w:val="008D3F5F"/>
    <w:rsid w:val="00943223"/>
    <w:rsid w:val="0094349C"/>
    <w:rsid w:val="00972097"/>
    <w:rsid w:val="00976A0C"/>
    <w:rsid w:val="0098284D"/>
    <w:rsid w:val="009A32FE"/>
    <w:rsid w:val="009B45F2"/>
    <w:rsid w:val="00A20B20"/>
    <w:rsid w:val="00A259D3"/>
    <w:rsid w:val="00A3724D"/>
    <w:rsid w:val="00A62940"/>
    <w:rsid w:val="00A64BB1"/>
    <w:rsid w:val="00AA2BC1"/>
    <w:rsid w:val="00AA40D5"/>
    <w:rsid w:val="00AA750D"/>
    <w:rsid w:val="00AC29A9"/>
    <w:rsid w:val="00B024FE"/>
    <w:rsid w:val="00B21FF2"/>
    <w:rsid w:val="00B3606E"/>
    <w:rsid w:val="00B668E6"/>
    <w:rsid w:val="00B806DA"/>
    <w:rsid w:val="00B90873"/>
    <w:rsid w:val="00BA661F"/>
    <w:rsid w:val="00BB3B2D"/>
    <w:rsid w:val="00BB52BA"/>
    <w:rsid w:val="00BB617A"/>
    <w:rsid w:val="00BB74F2"/>
    <w:rsid w:val="00BB78BA"/>
    <w:rsid w:val="00BC4957"/>
    <w:rsid w:val="00C005E5"/>
    <w:rsid w:val="00C01E62"/>
    <w:rsid w:val="00C06FEA"/>
    <w:rsid w:val="00C12124"/>
    <w:rsid w:val="00C21978"/>
    <w:rsid w:val="00C352AA"/>
    <w:rsid w:val="00C616C6"/>
    <w:rsid w:val="00C85342"/>
    <w:rsid w:val="00C9420D"/>
    <w:rsid w:val="00CA7354"/>
    <w:rsid w:val="00CA7528"/>
    <w:rsid w:val="00D67D3D"/>
    <w:rsid w:val="00D9178A"/>
    <w:rsid w:val="00D96110"/>
    <w:rsid w:val="00DA54F7"/>
    <w:rsid w:val="00E14DF1"/>
    <w:rsid w:val="00E26179"/>
    <w:rsid w:val="00E264D7"/>
    <w:rsid w:val="00E401CB"/>
    <w:rsid w:val="00E40F48"/>
    <w:rsid w:val="00E43054"/>
    <w:rsid w:val="00E46707"/>
    <w:rsid w:val="00ED5C48"/>
    <w:rsid w:val="00EE1641"/>
    <w:rsid w:val="00F10686"/>
    <w:rsid w:val="00F2724A"/>
    <w:rsid w:val="00F745BC"/>
    <w:rsid w:val="00F83CAD"/>
    <w:rsid w:val="00F86DFD"/>
    <w:rsid w:val="00F96103"/>
    <w:rsid w:val="00FA7E2E"/>
    <w:rsid w:val="00FB08A0"/>
    <w:rsid w:val="00FC483F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992A4"/>
  <w15:docId w15:val="{EA9D65FB-DB18-FE40-853A-034A1BF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name">
    <w:name w:val="section-nam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btitle1">
    <w:name w:val="Sub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unchecked-marker">
    <w:name w:val="unchecked-marker"/>
    <w:basedOn w:val="DefaultParagraphFont"/>
  </w:style>
  <w:style w:type="character" w:customStyle="1" w:styleId="ep-radiobuttonlabel">
    <w:name w:val="ep-radiobutton__label"/>
    <w:basedOn w:val="DefaultParagraphFont"/>
  </w:style>
  <w:style w:type="character" w:customStyle="1" w:styleId="checked-marker">
    <w:name w:val="checked-marker"/>
    <w:basedOn w:val="DefaultParagraphFont"/>
  </w:style>
  <w:style w:type="paragraph" w:customStyle="1" w:styleId="marker">
    <w:name w:val="mark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1">
    <w:name w:val="p1"/>
    <w:basedOn w:val="Normal"/>
    <w:rsid w:val="001D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0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7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9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3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93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8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81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7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84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34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79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6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2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00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4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6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7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5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1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9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34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29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9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5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8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3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6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9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6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9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2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0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8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1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54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6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3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5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2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0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2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7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7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8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0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1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8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3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5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6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5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5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7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03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66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35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33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12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5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5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1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9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3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9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8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27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0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4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3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1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1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7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43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1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9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5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81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8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89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6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6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47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25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9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9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6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81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9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4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0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4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0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69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13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0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53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2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0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23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5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0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1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9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0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3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1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2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0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92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9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2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5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9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8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6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3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6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5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1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8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21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33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0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602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7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0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29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18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54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1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5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8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1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2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1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3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90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8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52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76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34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2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769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0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8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08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3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6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0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29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Mathias Johan Holmberg</cp:lastModifiedBy>
  <cp:revision>69</cp:revision>
  <dcterms:created xsi:type="dcterms:W3CDTF">2025-11-05T12:53:00Z</dcterms:created>
  <dcterms:modified xsi:type="dcterms:W3CDTF">2025-12-02T19:01:00Z</dcterms:modified>
</cp:coreProperties>
</file>