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1157"/>
        <w:gridCol w:w="833"/>
        <w:gridCol w:w="1332"/>
        <w:gridCol w:w="1207"/>
        <w:gridCol w:w="1153"/>
        <w:gridCol w:w="1410"/>
        <w:gridCol w:w="1122"/>
        <w:gridCol w:w="1122"/>
        <w:gridCol w:w="1122"/>
        <w:gridCol w:w="1410"/>
        <w:gridCol w:w="1122"/>
        <w:gridCol w:w="1410"/>
      </w:tblGrid>
      <w:tr w:rsidR="008847B2" w14:paraId="6B065C9A" w14:textId="77777777">
        <w:trPr>
          <w:cantSplit/>
          <w:tblHeader/>
        </w:trPr>
        <w:tc>
          <w:tcPr>
            <w:tcW w:w="0" w:type="auto"/>
            <w:gridSpan w:val="12"/>
            <w:hideMark/>
          </w:tcPr>
          <w:p w14:paraId="6B065C98" w14:textId="77777777" w:rsidR="008847B2" w:rsidRDefault="008602C2">
            <w:pPr>
              <w:pStyle w:val="Title1"/>
              <w:spacing w:before="0" w:beforeAutospacing="0" w:after="0" w:afterAutospacing="0"/>
              <w:rPr>
                <w:rFonts w:ascii="Verdana" w:hAnsi="Verdana"/>
                <w:b/>
                <w:bCs/>
                <w14:ligatures w14:val="none"/>
              </w:rPr>
            </w:pPr>
            <w:r>
              <w:rPr>
                <w:rFonts w:ascii="Verdana" w:hAnsi="Verdana"/>
                <w:b/>
                <w:bCs/>
              </w:rPr>
              <w:t>Impedance tracings with ventilation waveforms in &lt; 50% of pauses compared to impedance tracings with ventilation waveforms in &gt;= 50% of pauses for cardiac arrest</w:t>
            </w:r>
          </w:p>
          <w:p w14:paraId="6B065C99" w14:textId="77777777" w:rsidR="008847B2" w:rsidRDefault="008602C2">
            <w:pPr>
              <w:divId w:val="1148790431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Bibliography: </w:t>
            </w:r>
          </w:p>
        </w:tc>
      </w:tr>
      <w:tr w:rsidR="008847B2" w14:paraId="6B065C9D" w14:textId="77777777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9B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9C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8847B2" w14:paraId="6B065CA8" w14:textId="77777777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9E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9F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A0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A1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A2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A3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A4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A5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A6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A7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8847B2" w14:paraId="6B065CB5" w14:textId="77777777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B065CA9" w14:textId="77777777" w:rsidR="008847B2" w:rsidRDefault="008847B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B065CAA" w14:textId="77777777" w:rsidR="008847B2" w:rsidRDefault="008847B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B065CAB" w14:textId="77777777" w:rsidR="008847B2" w:rsidRDefault="008847B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B065CAC" w14:textId="77777777" w:rsidR="008847B2" w:rsidRDefault="008847B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B065CAD" w14:textId="77777777" w:rsidR="008847B2" w:rsidRDefault="008847B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B065CAE" w14:textId="77777777" w:rsidR="008847B2" w:rsidRDefault="008847B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B065CAF" w14:textId="77777777" w:rsidR="008847B2" w:rsidRDefault="008847B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B0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With impedance tracings with ventilation waveforms in &gt;= 50% of pauses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B1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With impedance tracings with ventilation waveforms in &lt; 50% of pauses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B065CB2" w14:textId="77777777" w:rsidR="008847B2" w:rsidRDefault="008847B2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B3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with impedance tracings with ventilation waveforms in &gt;= 50% of pauses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6B065CB4" w14:textId="77777777" w:rsidR="008847B2" w:rsidRDefault="008602C2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difference with impedance tracings with ventilation waveforms in &lt; 50% of pauses</w:t>
            </w:r>
          </w:p>
        </w:tc>
      </w:tr>
      <w:tr w:rsidR="008847B2" w14:paraId="6B065CB7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B065CB6" w14:textId="77777777" w:rsidR="008847B2" w:rsidRDefault="008602C2">
            <w:pPr>
              <w:divId w:val="2009208454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Neurologically intact survival</w:t>
            </w:r>
          </w:p>
        </w:tc>
      </w:tr>
      <w:tr w:rsidR="008847B2" w14:paraId="6B065CC4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B8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2528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(2 non-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randomised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B9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BA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BB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BC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BD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strong association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all plausible residual confounding would reduce the demonstrated effect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BE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BF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41/929 (4.4%)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0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37/1599 (2.3%)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1" w14:textId="3B6858DF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 w:rsidRPr="008602C2">
              <w:rPr>
                <w:rStyle w:val="cell"/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2" w14:textId="2D7DD9F1" w:rsidR="008847B2" w:rsidRDefault="008602C2">
            <w:pPr>
              <w:jc w:val="center"/>
              <w:divId w:val="1095708765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 w:rsidRPr="008602C2">
              <w:rPr>
                <w:rStyle w:val="cell"/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3" w14:textId="43CB6118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 w:rsidRPr="008602C2">
              <w:rPr>
                <w:rStyle w:val="cell"/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8847B2" w14:paraId="6B065CC6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B065CC5" w14:textId="77777777" w:rsidR="008847B2" w:rsidRDefault="008602C2">
            <w:pPr>
              <w:divId w:val="1975911043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Survival to discharge</w:t>
            </w:r>
          </w:p>
        </w:tc>
      </w:tr>
      <w:tr w:rsidR="008847B2" w14:paraId="6B065CD3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7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2528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(2 non-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randomised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8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9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A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B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C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strong association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all plausible residual confounding would reduce the demonstrated effect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D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E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121/929 (13.0%)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CF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65/1599 (4.1%)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0" w14:textId="3F63EEED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 w:rsidRPr="008602C2">
              <w:rPr>
                <w:rStyle w:val="cell"/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1" w14:textId="472CB653" w:rsidR="008847B2" w:rsidRDefault="008602C2">
            <w:pPr>
              <w:jc w:val="center"/>
              <w:divId w:val="1542979767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 w:rsidRPr="008602C2">
              <w:rPr>
                <w:rStyle w:val="cell"/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2" w14:textId="64C23526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 w:rsidRPr="008602C2">
              <w:rPr>
                <w:rStyle w:val="cell"/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8847B2" w14:paraId="6B065CD5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B065CD4" w14:textId="77777777" w:rsidR="008847B2" w:rsidRDefault="008602C2">
            <w:pPr>
              <w:divId w:val="1687318501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Return of spontaneous circulation</w:t>
            </w:r>
          </w:p>
        </w:tc>
      </w:tr>
      <w:tr w:rsidR="008847B2" w14:paraId="6B065CE2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6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2536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(2 non-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randomised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7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8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9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A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not serious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B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all plausible residual confounding would reduce the demonstrated effect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C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Very low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D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386/935 (41.3%)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E" w14:textId="77777777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382/1601 (23.9%)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DF" w14:textId="36226502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 w:rsidRPr="008602C2">
              <w:rPr>
                <w:rStyle w:val="cell"/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E0" w14:textId="4981A6C4" w:rsidR="008847B2" w:rsidRDefault="00303AD3">
            <w:pPr>
              <w:jc w:val="center"/>
              <w:divId w:val="495145708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 w:rsidR="008602C2" w:rsidRPr="008602C2">
              <w:rPr>
                <w:rStyle w:val="cell"/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5CE1" w14:textId="245059A4" w:rsidR="008847B2" w:rsidRDefault="008602C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 w:rsidRPr="008602C2">
              <w:rPr>
                <w:rStyle w:val="cell"/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</w:tbl>
    <w:p w14:paraId="6B065CE3" w14:textId="77777777" w:rsidR="00C41BA1" w:rsidRDefault="008602C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  <w:lang w:val="en"/>
        </w:rPr>
      </w:pP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CI: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confidence interval; </w:t>
      </w: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OR: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odds ratio</w:t>
      </w:r>
    </w:p>
    <w:p w14:paraId="64884B26" w14:textId="77777777" w:rsidR="008602C2" w:rsidRDefault="008602C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  <w:lang w:val="en"/>
        </w:rPr>
      </w:pPr>
    </w:p>
    <w:p w14:paraId="761B28CA" w14:textId="5EA793AD" w:rsidR="008602C2" w:rsidRDefault="008602C2" w:rsidP="008602C2">
      <w:pPr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a. Unable to pool data due to heterogeneity.</w:t>
      </w:r>
    </w:p>
    <w:p w14:paraId="3A04B2A4" w14:textId="77777777" w:rsidR="008602C2" w:rsidRDefault="008602C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  <w:lang w:val="en"/>
        </w:rPr>
      </w:pPr>
    </w:p>
    <w:sectPr w:rsidR="008602C2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CF"/>
    <w:rsid w:val="000C128D"/>
    <w:rsid w:val="00303AD3"/>
    <w:rsid w:val="00402815"/>
    <w:rsid w:val="004A6BF3"/>
    <w:rsid w:val="008602C2"/>
    <w:rsid w:val="008847B2"/>
    <w:rsid w:val="00946987"/>
    <w:rsid w:val="00BC03CF"/>
    <w:rsid w:val="00C41BA1"/>
    <w:rsid w:val="00F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5C98"/>
  <w15:docId w15:val="{15D9B0DD-7C4D-4775-AACE-9E234E18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9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Mariero Olasveengen</dc:creator>
  <cp:lastModifiedBy>Theresa Mariero Olasveengen</cp:lastModifiedBy>
  <cp:revision>2</cp:revision>
  <dcterms:created xsi:type="dcterms:W3CDTF">2025-12-09T23:20:00Z</dcterms:created>
  <dcterms:modified xsi:type="dcterms:W3CDTF">2025-12-09T23:20:00Z</dcterms:modified>
</cp:coreProperties>
</file>