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59D9" w:rsidRDefault="000659D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400" w:type="dxa"/>
        <w:tblLayout w:type="fixed"/>
        <w:tblLook w:val="0400" w:firstRow="0" w:lastRow="0" w:firstColumn="0" w:lastColumn="0" w:noHBand="0" w:noVBand="1"/>
      </w:tblPr>
      <w:tblGrid>
        <w:gridCol w:w="3437"/>
        <w:gridCol w:w="10963"/>
      </w:tblGrid>
      <w:tr w:rsidR="000659D9">
        <w:tc>
          <w:tcPr>
            <w:tcW w:w="14400" w:type="dxa"/>
            <w:gridSpan w:val="2"/>
            <w:tcBorders>
              <w:bottom w:val="single" w:sz="6" w:space="0" w:color="2E74B5"/>
            </w:tcBorders>
            <w:tcMar>
              <w:top w:w="0" w:type="dxa"/>
              <w:left w:w="0" w:type="dxa"/>
              <w:bottom w:w="0" w:type="dxa"/>
              <w:right w:w="0" w:type="dxa"/>
            </w:tcMar>
          </w:tcPr>
          <w:p w:rsidR="000659D9" w:rsidRDefault="00000000">
            <w:pPr>
              <w:pStyle w:val="Heading1"/>
              <w:spacing w:before="240" w:after="20"/>
              <w:rPr>
                <w:rFonts w:ascii="Calibri" w:hAnsi="Calibri" w:cs="Calibri"/>
                <w:smallCaps/>
                <w:sz w:val="30"/>
                <w:szCs w:val="30"/>
              </w:rPr>
            </w:pPr>
            <w:r>
              <w:rPr>
                <w:rFonts w:ascii="Calibri" w:hAnsi="Calibri" w:cs="Calibri"/>
                <w:smallCaps/>
                <w:sz w:val="30"/>
                <w:szCs w:val="30"/>
              </w:rPr>
              <w:t>QUESTION</w:t>
            </w:r>
          </w:p>
        </w:tc>
      </w:tr>
      <w:tr w:rsidR="000659D9">
        <w:tc>
          <w:tcPr>
            <w:tcW w:w="14400" w:type="dxa"/>
            <w:gridSpan w:val="2"/>
            <w:tcBorders>
              <w:bottom w:val="single" w:sz="6" w:space="0" w:color="2E74B5"/>
              <w:right w:val="single" w:sz="6" w:space="0" w:color="2E74B5"/>
            </w:tcBorders>
            <w:shd w:val="clear" w:color="auto" w:fill="2E74B5"/>
            <w:tcMar>
              <w:top w:w="75" w:type="dxa"/>
              <w:left w:w="75" w:type="dxa"/>
              <w:bottom w:w="75" w:type="dxa"/>
              <w:right w:w="75" w:type="dxa"/>
            </w:tcMar>
          </w:tcPr>
          <w:p w:rsidR="000659D9" w:rsidRDefault="00000000">
            <w:pPr>
              <w:pBdr>
                <w:top w:val="nil"/>
                <w:left w:val="nil"/>
                <w:bottom w:val="nil"/>
                <w:right w:val="nil"/>
                <w:between w:val="nil"/>
              </w:pBdr>
              <w:spacing w:after="0" w:line="240" w:lineRule="auto"/>
              <w:rPr>
                <w:b/>
                <w:color w:val="FFFFFF"/>
                <w:sz w:val="28"/>
                <w:szCs w:val="28"/>
              </w:rPr>
            </w:pPr>
            <w:r>
              <w:rPr>
                <w:b/>
                <w:color w:val="FFFFFF"/>
                <w:sz w:val="28"/>
                <w:szCs w:val="28"/>
              </w:rPr>
              <w:t>Diffusion-weighted imaging (DWI) on brain magnetic resonance imaging (MRI) for prediction of good neurological outcome in adults with cardiac arrest (Subsection of Prognostication ETD)</w:t>
            </w:r>
          </w:p>
        </w:tc>
      </w:tr>
      <w:tr w:rsidR="000659D9">
        <w:tc>
          <w:tcPr>
            <w:tcW w:w="3437" w:type="dxa"/>
            <w:tcBorders>
              <w:bottom w:val="single" w:sz="6" w:space="0" w:color="2E74B5"/>
            </w:tcBorders>
            <w:shd w:val="clear" w:color="auto" w:fill="2E74B5"/>
            <w:tcMar>
              <w:top w:w="75" w:type="dxa"/>
              <w:left w:w="75" w:type="dxa"/>
              <w:bottom w:w="75" w:type="dxa"/>
              <w:right w:w="75" w:type="dxa"/>
            </w:tcMar>
          </w:tcPr>
          <w:p w:rsidR="000659D9"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POPULATION:</w:t>
            </w:r>
          </w:p>
        </w:tc>
        <w:tc>
          <w:tcPr>
            <w:tcW w:w="10963" w:type="dxa"/>
            <w:tcBorders>
              <w:bottom w:val="single" w:sz="6" w:space="0" w:color="2E74B5"/>
              <w:right w:val="single" w:sz="6" w:space="0" w:color="2E74B5"/>
            </w:tcBorders>
            <w:tcMar>
              <w:top w:w="75" w:type="dxa"/>
              <w:left w:w="75" w:type="dxa"/>
              <w:bottom w:w="75" w:type="dxa"/>
              <w:right w:w="75" w:type="dxa"/>
            </w:tcMar>
          </w:tcPr>
          <w:p w:rsidR="000659D9" w:rsidRDefault="00000000">
            <w:pPr>
              <w:spacing w:after="0"/>
              <w:rPr>
                <w:sz w:val="20"/>
                <w:szCs w:val="20"/>
              </w:rPr>
            </w:pPr>
            <w:r>
              <w:rPr>
                <w:sz w:val="20"/>
                <w:szCs w:val="20"/>
              </w:rPr>
              <w:t>Adults who are comatose after resuscitation from cardiac arrest (either in-hospital or out-of-hospital), regardless of target temperature management.</w:t>
            </w:r>
          </w:p>
        </w:tc>
      </w:tr>
      <w:tr w:rsidR="000659D9">
        <w:tc>
          <w:tcPr>
            <w:tcW w:w="3437" w:type="dxa"/>
            <w:tcBorders>
              <w:bottom w:val="single" w:sz="6" w:space="0" w:color="2E74B5"/>
            </w:tcBorders>
            <w:shd w:val="clear" w:color="auto" w:fill="2E74B5"/>
            <w:tcMar>
              <w:top w:w="75" w:type="dxa"/>
              <w:left w:w="75" w:type="dxa"/>
              <w:bottom w:w="75" w:type="dxa"/>
              <w:right w:w="75" w:type="dxa"/>
            </w:tcMar>
          </w:tcPr>
          <w:p w:rsidR="000659D9"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INTERVENTION:</w:t>
            </w:r>
          </w:p>
        </w:tc>
        <w:tc>
          <w:tcPr>
            <w:tcW w:w="10963" w:type="dxa"/>
            <w:tcBorders>
              <w:bottom w:val="single" w:sz="6" w:space="0" w:color="2E74B5"/>
              <w:right w:val="single" w:sz="6" w:space="0" w:color="2E74B5"/>
            </w:tcBorders>
            <w:tcMar>
              <w:top w:w="75" w:type="dxa"/>
              <w:left w:w="75" w:type="dxa"/>
              <w:bottom w:w="75" w:type="dxa"/>
              <w:right w:w="75" w:type="dxa"/>
            </w:tcMar>
          </w:tcPr>
          <w:p w:rsidR="000659D9" w:rsidRDefault="00000000">
            <w:pPr>
              <w:pBdr>
                <w:top w:val="nil"/>
                <w:left w:val="nil"/>
                <w:bottom w:val="nil"/>
                <w:right w:val="nil"/>
                <w:between w:val="nil"/>
              </w:pBdr>
              <w:spacing w:after="0" w:line="240" w:lineRule="auto"/>
              <w:rPr>
                <w:color w:val="000000"/>
                <w:sz w:val="20"/>
                <w:szCs w:val="20"/>
              </w:rPr>
            </w:pPr>
            <w:r>
              <w:rPr>
                <w:color w:val="000000"/>
                <w:sz w:val="20"/>
                <w:szCs w:val="20"/>
              </w:rPr>
              <w:t>Diffusion-weighted imaging (DWI) on brain magnetic resonance imaging (MRI), assessed within eight days after cardiac arrest.</w:t>
            </w:r>
          </w:p>
        </w:tc>
      </w:tr>
      <w:tr w:rsidR="000659D9">
        <w:tc>
          <w:tcPr>
            <w:tcW w:w="3437" w:type="dxa"/>
            <w:tcBorders>
              <w:bottom w:val="single" w:sz="6" w:space="0" w:color="2E74B5"/>
            </w:tcBorders>
            <w:shd w:val="clear" w:color="auto" w:fill="2E74B5"/>
            <w:tcMar>
              <w:top w:w="75" w:type="dxa"/>
              <w:left w:w="75" w:type="dxa"/>
              <w:bottom w:w="75" w:type="dxa"/>
              <w:right w:w="75" w:type="dxa"/>
            </w:tcMar>
          </w:tcPr>
          <w:p w:rsidR="000659D9"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COMPARISON:</w:t>
            </w:r>
          </w:p>
        </w:tc>
        <w:tc>
          <w:tcPr>
            <w:tcW w:w="10963" w:type="dxa"/>
            <w:tcBorders>
              <w:bottom w:val="single" w:sz="6" w:space="0" w:color="2E74B5"/>
              <w:right w:val="single" w:sz="6" w:space="0" w:color="2E74B5"/>
            </w:tcBorders>
            <w:tcMar>
              <w:top w:w="75" w:type="dxa"/>
              <w:left w:w="75" w:type="dxa"/>
              <w:bottom w:w="75" w:type="dxa"/>
              <w:right w:w="75" w:type="dxa"/>
            </w:tcMar>
          </w:tcPr>
          <w:p w:rsidR="000659D9" w:rsidRDefault="00000000">
            <w:pPr>
              <w:pBdr>
                <w:top w:val="nil"/>
                <w:left w:val="nil"/>
                <w:bottom w:val="nil"/>
                <w:right w:val="nil"/>
                <w:between w:val="nil"/>
              </w:pBdr>
              <w:spacing w:after="0" w:line="240" w:lineRule="auto"/>
              <w:rPr>
                <w:i/>
                <w:color w:val="000000"/>
                <w:sz w:val="20"/>
                <w:szCs w:val="20"/>
              </w:rPr>
            </w:pPr>
            <w:r>
              <w:rPr>
                <w:i/>
                <w:color w:val="000000"/>
                <w:sz w:val="20"/>
                <w:szCs w:val="20"/>
              </w:rPr>
              <w:t>None.</w:t>
            </w:r>
          </w:p>
        </w:tc>
      </w:tr>
      <w:tr w:rsidR="000659D9">
        <w:tc>
          <w:tcPr>
            <w:tcW w:w="3437" w:type="dxa"/>
            <w:tcBorders>
              <w:bottom w:val="single" w:sz="6" w:space="0" w:color="2E74B5"/>
            </w:tcBorders>
            <w:shd w:val="clear" w:color="auto" w:fill="2E74B5"/>
            <w:tcMar>
              <w:top w:w="75" w:type="dxa"/>
              <w:left w:w="75" w:type="dxa"/>
              <w:bottom w:w="75" w:type="dxa"/>
              <w:right w:w="75" w:type="dxa"/>
            </w:tcMar>
          </w:tcPr>
          <w:p w:rsidR="000659D9"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MAIN OUTCOMES:</w:t>
            </w:r>
          </w:p>
        </w:tc>
        <w:tc>
          <w:tcPr>
            <w:tcW w:w="10963" w:type="dxa"/>
            <w:tcBorders>
              <w:bottom w:val="single" w:sz="6" w:space="0" w:color="2E74B5"/>
              <w:right w:val="single" w:sz="6" w:space="0" w:color="2E74B5"/>
            </w:tcBorders>
            <w:tcMar>
              <w:top w:w="75" w:type="dxa"/>
              <w:left w:w="75" w:type="dxa"/>
              <w:bottom w:w="75" w:type="dxa"/>
              <w:right w:w="75" w:type="dxa"/>
            </w:tcMar>
          </w:tcPr>
          <w:p w:rsidR="000659D9" w:rsidRDefault="00000000">
            <w:pPr>
              <w:spacing w:after="0"/>
              <w:rPr>
                <w:sz w:val="20"/>
                <w:szCs w:val="20"/>
              </w:rPr>
            </w:pPr>
            <w:r>
              <w:rPr>
                <w:sz w:val="20"/>
                <w:szCs w:val="20"/>
              </w:rPr>
              <w:t>Prediction of good neurological outcome defined as Cerebral Performance Categories (CPC) 1–2 at 6 months after cardiac arrest.</w:t>
            </w:r>
          </w:p>
        </w:tc>
      </w:tr>
      <w:tr w:rsidR="000659D9">
        <w:tc>
          <w:tcPr>
            <w:tcW w:w="3437" w:type="dxa"/>
            <w:tcBorders>
              <w:bottom w:val="dotted" w:sz="4" w:space="0" w:color="000000"/>
            </w:tcBorders>
            <w:shd w:val="clear" w:color="auto" w:fill="2E74B5"/>
            <w:tcMar>
              <w:top w:w="75" w:type="dxa"/>
              <w:left w:w="75" w:type="dxa"/>
              <w:bottom w:w="75" w:type="dxa"/>
              <w:right w:w="75" w:type="dxa"/>
            </w:tcMar>
          </w:tcPr>
          <w:p w:rsidR="000659D9"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STUDY DESIGN:</w:t>
            </w:r>
          </w:p>
        </w:tc>
        <w:tc>
          <w:tcPr>
            <w:tcW w:w="10963" w:type="dxa"/>
            <w:tcBorders>
              <w:bottom w:val="single" w:sz="4" w:space="0" w:color="000000"/>
              <w:right w:val="single" w:sz="6" w:space="0" w:color="2E74B5"/>
            </w:tcBorders>
            <w:tcMar>
              <w:top w:w="75" w:type="dxa"/>
              <w:left w:w="75" w:type="dxa"/>
              <w:bottom w:w="75" w:type="dxa"/>
              <w:right w:w="75" w:type="dxa"/>
            </w:tcMar>
          </w:tcPr>
          <w:p w:rsidR="000659D9"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Prognostic accuracy studies where the 2 x 2 contingency table (i.e., the number of true/false negatives and positives for prediction of good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were excluded.  </w:t>
            </w:r>
          </w:p>
        </w:tc>
      </w:tr>
      <w:tr w:rsidR="000659D9">
        <w:tc>
          <w:tcPr>
            <w:tcW w:w="3437" w:type="dxa"/>
            <w:tcBorders>
              <w:top w:val="dotted" w:sz="4" w:space="0" w:color="000000"/>
              <w:bottom w:val="single" w:sz="6" w:space="0" w:color="2E74B5"/>
            </w:tcBorders>
            <w:shd w:val="clear" w:color="auto" w:fill="2E74B5"/>
            <w:tcMar>
              <w:top w:w="75" w:type="dxa"/>
              <w:left w:w="75" w:type="dxa"/>
              <w:bottom w:w="75" w:type="dxa"/>
              <w:right w:w="75" w:type="dxa"/>
            </w:tcMar>
          </w:tcPr>
          <w:p w:rsidR="000659D9" w:rsidRDefault="00000000">
            <w:pPr>
              <w:pBdr>
                <w:top w:val="nil"/>
                <w:left w:val="nil"/>
                <w:bottom w:val="nil"/>
                <w:right w:val="nil"/>
                <w:between w:val="nil"/>
              </w:pBdr>
              <w:spacing w:after="0" w:line="240" w:lineRule="auto"/>
              <w:rPr>
                <w:b/>
                <w:smallCaps/>
                <w:color w:val="FFFFFF"/>
                <w:sz w:val="20"/>
                <w:szCs w:val="20"/>
              </w:rPr>
            </w:pPr>
            <w:r>
              <w:rPr>
                <w:b/>
                <w:color w:val="FFFFFF"/>
                <w:sz w:val="20"/>
                <w:szCs w:val="20"/>
              </w:rPr>
              <w:t>TIMEFRAME:</w:t>
            </w:r>
          </w:p>
        </w:tc>
        <w:tc>
          <w:tcPr>
            <w:tcW w:w="10963" w:type="dxa"/>
            <w:tcBorders>
              <w:top w:val="single" w:sz="4" w:space="0" w:color="000000"/>
              <w:bottom w:val="single" w:sz="6" w:space="0" w:color="2E74B5"/>
              <w:right w:val="single" w:sz="6" w:space="0" w:color="2E74B5"/>
            </w:tcBorders>
            <w:tcMar>
              <w:top w:w="75" w:type="dxa"/>
              <w:left w:w="75" w:type="dxa"/>
              <w:bottom w:w="75" w:type="dxa"/>
              <w:right w:w="75" w:type="dxa"/>
            </w:tcMar>
          </w:tcPr>
          <w:p w:rsidR="000659D9" w:rsidRDefault="00000000">
            <w:pPr>
              <w:pBdr>
                <w:top w:val="nil"/>
                <w:left w:val="nil"/>
                <w:bottom w:val="nil"/>
                <w:right w:val="nil"/>
                <w:between w:val="nil"/>
              </w:pBdr>
              <w:spacing w:after="0" w:line="240" w:lineRule="auto"/>
              <w:rPr>
                <w:color w:val="000000"/>
                <w:sz w:val="20"/>
                <w:szCs w:val="20"/>
              </w:rPr>
            </w:pPr>
            <w:r>
              <w:rPr>
                <w:color w:val="000000"/>
                <w:sz w:val="20"/>
                <w:szCs w:val="20"/>
              </w:rPr>
              <w:t>An ILCOR review from 2013 and an update from 2020 presented the evidence of predictors of poor neurological outcome after cardiac arrest. More recently, several studies identifying predictors of good neurological outcome after cardiac arrest have been published, therefore an ILCOR evidence review for predictors of good neurological outcome after cardiac arrest was necessary.</w:t>
            </w:r>
          </w:p>
          <w:p w:rsidR="000659D9" w:rsidRDefault="000659D9">
            <w:pPr>
              <w:pBdr>
                <w:top w:val="nil"/>
                <w:left w:val="nil"/>
                <w:bottom w:val="nil"/>
                <w:right w:val="nil"/>
                <w:between w:val="nil"/>
              </w:pBdr>
              <w:spacing w:after="0" w:line="240" w:lineRule="auto"/>
              <w:rPr>
                <w:color w:val="000000"/>
                <w:sz w:val="20"/>
                <w:szCs w:val="20"/>
              </w:rPr>
            </w:pPr>
          </w:p>
          <w:p w:rsidR="000659D9"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The most recent search of this systematic review evidence update on </w:t>
            </w:r>
            <w:proofErr w:type="spellStart"/>
            <w:r>
              <w:rPr>
                <w:color w:val="000000"/>
                <w:sz w:val="20"/>
                <w:szCs w:val="20"/>
              </w:rPr>
              <w:t>neuroprognostication</w:t>
            </w:r>
            <w:proofErr w:type="spellEnd"/>
            <w:r>
              <w:rPr>
                <w:color w:val="000000"/>
                <w:sz w:val="20"/>
                <w:szCs w:val="20"/>
              </w:rPr>
              <w:t xml:space="preserve"> was launched in October 2022.</w:t>
            </w:r>
          </w:p>
        </w:tc>
      </w:tr>
    </w:tbl>
    <w:p w:rsidR="000659D9"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ASSESSMENT</w:t>
      </w:r>
    </w:p>
    <w:tbl>
      <w:tblPr>
        <w:tblStyle w:val="a0"/>
        <w:tblW w:w="14384" w:type="dxa"/>
        <w:tblLayout w:type="fixed"/>
        <w:tblLook w:val="0400" w:firstRow="0" w:lastRow="0" w:firstColumn="0" w:lastColumn="0" w:noHBand="0" w:noVBand="1"/>
      </w:tblPr>
      <w:tblGrid>
        <w:gridCol w:w="3147"/>
        <w:gridCol w:w="8698"/>
        <w:gridCol w:w="2539"/>
      </w:tblGrid>
      <w:tr w:rsidR="000659D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Problem</w:t>
            </w:r>
          </w:p>
          <w:p w:rsidR="000659D9" w:rsidRDefault="00000000">
            <w:pPr>
              <w:pBdr>
                <w:top w:val="nil"/>
                <w:left w:val="nil"/>
                <w:bottom w:val="nil"/>
                <w:right w:val="nil"/>
                <w:between w:val="nil"/>
              </w:pBdr>
              <w:spacing w:after="0" w:line="240" w:lineRule="auto"/>
              <w:rPr>
                <w:color w:val="FFFFFF"/>
                <w:sz w:val="16"/>
                <w:szCs w:val="16"/>
              </w:rPr>
            </w:pPr>
            <w:r>
              <w:rPr>
                <w:color w:val="FFFFFF"/>
                <w:sz w:val="16"/>
                <w:szCs w:val="16"/>
              </w:rPr>
              <w:t>Is the problem a priority?</w:t>
            </w:r>
          </w:p>
        </w:tc>
      </w:tr>
      <w:tr w:rsidR="000659D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0659D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20"/>
                <w:szCs w:val="20"/>
              </w:rPr>
            </w:pPr>
            <w:r>
              <w:rPr>
                <w:sz w:val="20"/>
                <w:szCs w:val="20"/>
              </w:rPr>
              <w:t>Neurologic injury is the most common cause of death in patients with post-cardiac arrest syndrome. Most of these deaths occur due to withdrawal of life-sustaining treatment (WLST) based on the prediction of poor neurological outcome. Neurological prognostication after cardiac arrest is of utmost importance to avoid futile treatments for unsalvageable patients but also to minimize the risk of falsely pessimistic prediction and self-fulfilling prophecy.</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659D9">
            <w:pPr>
              <w:rPr>
                <w:sz w:val="20"/>
                <w:szCs w:val="20"/>
              </w:rPr>
            </w:pPr>
          </w:p>
        </w:tc>
      </w:tr>
      <w:tr w:rsidR="000659D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Desirable Effects</w:t>
            </w:r>
          </w:p>
          <w:p w:rsidR="000659D9"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desirable anticipated effects?</w:t>
            </w:r>
          </w:p>
        </w:tc>
      </w:tr>
      <w:tr w:rsidR="000659D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0659D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spacing w:after="0"/>
              <w:rPr>
                <w:sz w:val="20"/>
                <w:szCs w:val="20"/>
              </w:rPr>
            </w:pPr>
            <w:r>
              <w:rPr>
                <w:sz w:val="20"/>
                <w:szCs w:val="20"/>
              </w:rPr>
              <w:t xml:space="preserve">○ Trivial </w:t>
            </w:r>
          </w:p>
          <w:p w:rsidR="000659D9" w:rsidRDefault="00000000">
            <w:pPr>
              <w:spacing w:after="0"/>
              <w:rPr>
                <w:sz w:val="20"/>
                <w:szCs w:val="20"/>
              </w:rPr>
            </w:pPr>
            <w:r>
              <w:rPr>
                <w:sz w:val="20"/>
                <w:szCs w:val="20"/>
              </w:rPr>
              <w:t xml:space="preserve">● Small </w:t>
            </w:r>
            <w:r>
              <w:rPr>
                <w:sz w:val="20"/>
                <w:szCs w:val="20"/>
              </w:rPr>
              <w:br/>
              <w:t>○ Moderate</w:t>
            </w:r>
            <w:r>
              <w:rPr>
                <w:sz w:val="20"/>
                <w:szCs w:val="20"/>
              </w:rPr>
              <w:br/>
              <w:t>○ Large</w:t>
            </w:r>
            <w:r>
              <w:rPr>
                <w:sz w:val="20"/>
                <w:szCs w:val="20"/>
              </w:rPr>
              <w:br/>
              <w:t>○ Varies</w:t>
            </w:r>
            <w:r>
              <w:rPr>
                <w:sz w:val="20"/>
                <w:szCs w:val="20"/>
              </w:rPr>
              <w:b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20"/>
                <w:szCs w:val="20"/>
              </w:rPr>
            </w:pPr>
            <w:bookmarkStart w:id="0" w:name="_heading=h.gjdgxs" w:colFirst="0" w:colLast="0"/>
            <w:bookmarkEnd w:id="0"/>
            <w:r>
              <w:rPr>
                <w:sz w:val="20"/>
                <w:szCs w:val="20"/>
              </w:rPr>
              <w:t xml:space="preserve">DWI was investigated in five observational studies [Park, 2020; Oh, 2019; Jang, 2019; </w:t>
            </w:r>
            <w:proofErr w:type="spellStart"/>
            <w:r>
              <w:rPr>
                <w:sz w:val="20"/>
                <w:szCs w:val="20"/>
              </w:rPr>
              <w:t>Mlynash</w:t>
            </w:r>
            <w:proofErr w:type="spellEnd"/>
            <w:r>
              <w:rPr>
                <w:sz w:val="20"/>
                <w:szCs w:val="20"/>
              </w:rPr>
              <w:t xml:space="preserve">, 2010, </w:t>
            </w:r>
            <w:proofErr w:type="spellStart"/>
            <w:r>
              <w:rPr>
                <w:sz w:val="20"/>
                <w:szCs w:val="20"/>
              </w:rPr>
              <w:t>Wouters</w:t>
            </w:r>
            <w:proofErr w:type="spellEnd"/>
            <w:r>
              <w:rPr>
                <w:sz w:val="20"/>
                <w:szCs w:val="20"/>
              </w:rPr>
              <w:t>, 2021]</w:t>
            </w:r>
          </w:p>
          <w:p w:rsidR="000659D9" w:rsidRDefault="00000000">
            <w:pPr>
              <w:spacing w:line="240" w:lineRule="auto"/>
              <w:rPr>
                <w:sz w:val="16"/>
                <w:szCs w:val="16"/>
              </w:rPr>
            </w:pPr>
            <w:bookmarkStart w:id="1" w:name="_heading=h.30j0zll" w:colFirst="0" w:colLast="0"/>
            <w:bookmarkEnd w:id="1"/>
            <w:r>
              <w:rPr>
                <w:sz w:val="16"/>
                <w:szCs w:val="16"/>
              </w:rPr>
              <w:t xml:space="preserve">Park JS, In YN, You YH, et al. (2020) Ultra-early neurologic outcome prediction of out-of-hospital cardiac arrest survivors using combined diffusion-weighted imaging find- </w:t>
            </w:r>
            <w:proofErr w:type="spellStart"/>
            <w:r>
              <w:rPr>
                <w:sz w:val="16"/>
                <w:szCs w:val="16"/>
              </w:rPr>
              <w:t>ings</w:t>
            </w:r>
            <w:proofErr w:type="spellEnd"/>
            <w:r>
              <w:rPr>
                <w:sz w:val="16"/>
                <w:szCs w:val="16"/>
              </w:rPr>
              <w:t xml:space="preserve"> and quantitative analysis of apparent diffusion coefficient. Resuscitation 148:39–48</w:t>
            </w:r>
          </w:p>
          <w:p w:rsidR="000659D9" w:rsidRDefault="00000000">
            <w:pPr>
              <w:spacing w:line="240" w:lineRule="auto"/>
              <w:rPr>
                <w:sz w:val="16"/>
                <w:szCs w:val="16"/>
              </w:rPr>
            </w:pPr>
            <w:bookmarkStart w:id="2" w:name="_heading=h.1fob9te" w:colFirst="0" w:colLast="0"/>
            <w:bookmarkEnd w:id="2"/>
            <w:r>
              <w:rPr>
                <w:sz w:val="16"/>
                <w:szCs w:val="16"/>
              </w:rPr>
              <w:t>Oh SH, Park KN, Choi SP, et al. (2019) Beyond dichotomy: patterns and amplitudes of SSEPs and neurological outcomes after cardiac arrest. Crit Care 23:224</w:t>
            </w:r>
          </w:p>
          <w:p w:rsidR="000659D9" w:rsidRDefault="00000000">
            <w:pPr>
              <w:spacing w:line="240" w:lineRule="auto"/>
              <w:rPr>
                <w:sz w:val="16"/>
                <w:szCs w:val="16"/>
              </w:rPr>
            </w:pPr>
            <w:r>
              <w:rPr>
                <w:sz w:val="16"/>
                <w:szCs w:val="16"/>
              </w:rPr>
              <w:t>Jang J, Oh SH, Nam Y, et al. BS (2019) Prognostic value of phase information of 2D T2*-weighted gradient echo brain imaging in cardiac arrest survivors: A preliminary study. Resuscitation 140:142–149</w:t>
            </w:r>
          </w:p>
          <w:p w:rsidR="000659D9" w:rsidRDefault="00000000">
            <w:pPr>
              <w:spacing w:line="240" w:lineRule="auto"/>
              <w:rPr>
                <w:sz w:val="16"/>
                <w:szCs w:val="16"/>
              </w:rPr>
            </w:pPr>
            <w:bookmarkStart w:id="3" w:name="_heading=h.3znysh7" w:colFirst="0" w:colLast="0"/>
            <w:bookmarkEnd w:id="3"/>
            <w:proofErr w:type="spellStart"/>
            <w:r>
              <w:rPr>
                <w:sz w:val="16"/>
                <w:szCs w:val="16"/>
              </w:rPr>
              <w:t>Mlynash</w:t>
            </w:r>
            <w:proofErr w:type="spellEnd"/>
            <w:r>
              <w:rPr>
                <w:sz w:val="16"/>
                <w:szCs w:val="16"/>
              </w:rPr>
              <w:t xml:space="preserve"> M, Campbell DM, </w:t>
            </w:r>
            <w:proofErr w:type="spellStart"/>
            <w:r>
              <w:rPr>
                <w:sz w:val="16"/>
                <w:szCs w:val="16"/>
              </w:rPr>
              <w:t>Leproust</w:t>
            </w:r>
            <w:proofErr w:type="spellEnd"/>
            <w:r>
              <w:rPr>
                <w:sz w:val="16"/>
                <w:szCs w:val="16"/>
              </w:rPr>
              <w:t xml:space="preserve"> EM, et al. (2010) Temporal and spatial profile of brain diffusion-weighted MRI after cardiac arrest. Stroke 41:1665–1672</w:t>
            </w:r>
          </w:p>
          <w:p w:rsidR="000659D9" w:rsidRDefault="00000000">
            <w:pPr>
              <w:spacing w:line="240" w:lineRule="auto"/>
              <w:rPr>
                <w:sz w:val="16"/>
                <w:szCs w:val="16"/>
              </w:rPr>
            </w:pPr>
            <w:bookmarkStart w:id="4" w:name="_heading=h.2et92p0" w:colFirst="0" w:colLast="0"/>
            <w:bookmarkEnd w:id="4"/>
            <w:proofErr w:type="spellStart"/>
            <w:r>
              <w:rPr>
                <w:sz w:val="16"/>
                <w:szCs w:val="16"/>
              </w:rPr>
              <w:t>Wouters</w:t>
            </w:r>
            <w:proofErr w:type="spellEnd"/>
            <w:r>
              <w:rPr>
                <w:sz w:val="16"/>
                <w:szCs w:val="16"/>
              </w:rPr>
              <w:t xml:space="preserve"> A, et al., Added Value of Quantitative Apparent Diffusion Coefficient Values for </w:t>
            </w:r>
            <w:proofErr w:type="spellStart"/>
            <w:r>
              <w:rPr>
                <w:sz w:val="16"/>
                <w:szCs w:val="16"/>
              </w:rPr>
              <w:t>Neuroprognostication</w:t>
            </w:r>
            <w:proofErr w:type="spellEnd"/>
            <w:r>
              <w:rPr>
                <w:sz w:val="16"/>
                <w:szCs w:val="16"/>
              </w:rPr>
              <w:t xml:space="preserve"> After Cardiac Arrest, Neurology, 2021. 96(21): p. e2611.</w:t>
            </w:r>
          </w:p>
          <w:p w:rsidR="000659D9" w:rsidRDefault="00000000">
            <w:pPr>
              <w:spacing w:line="240" w:lineRule="auto"/>
              <w:rPr>
                <w:sz w:val="20"/>
                <w:szCs w:val="20"/>
              </w:rPr>
            </w:pPr>
            <w:bookmarkStart w:id="5" w:name="_heading=h.tyjcwt" w:colFirst="0" w:colLast="0"/>
            <w:bookmarkEnd w:id="5"/>
            <w:r>
              <w:rPr>
                <w:sz w:val="20"/>
                <w:szCs w:val="20"/>
              </w:rPr>
              <w:t xml:space="preserve">In one study [Oh, 2019] on MRI immediately after rewarming, </w:t>
            </w:r>
            <w:r>
              <w:rPr>
                <w:b/>
                <w:sz w:val="20"/>
                <w:szCs w:val="20"/>
              </w:rPr>
              <w:t>absence of restricted diffusion</w:t>
            </w:r>
            <w:r>
              <w:rPr>
                <w:sz w:val="20"/>
                <w:szCs w:val="20"/>
              </w:rPr>
              <w:t xml:space="preserve"> on DWI predicted good outcome with specificity of </w:t>
            </w:r>
            <w:r>
              <w:rPr>
                <w:b/>
                <w:sz w:val="20"/>
                <w:szCs w:val="20"/>
              </w:rPr>
              <w:t>95% (sensitivity 72%),</w:t>
            </w:r>
            <w:r>
              <w:rPr>
                <w:sz w:val="20"/>
                <w:szCs w:val="20"/>
              </w:rPr>
              <w:t xml:space="preserve"> and the </w:t>
            </w:r>
            <w:r>
              <w:rPr>
                <w:b/>
                <w:sz w:val="20"/>
                <w:szCs w:val="20"/>
              </w:rPr>
              <w:t xml:space="preserve">presence of a single area of restricted diffusion </w:t>
            </w:r>
            <w:r>
              <w:rPr>
                <w:sz w:val="20"/>
                <w:szCs w:val="20"/>
              </w:rPr>
              <w:t>predicted good outcome with</w:t>
            </w:r>
            <w:r>
              <w:rPr>
                <w:b/>
                <w:sz w:val="20"/>
                <w:szCs w:val="20"/>
              </w:rPr>
              <w:t xml:space="preserve"> 92% specificity (sensitivity 94%)</w:t>
            </w:r>
            <w:r>
              <w:rPr>
                <w:sz w:val="20"/>
                <w:szCs w:val="20"/>
              </w:rPr>
              <w:t>.</w:t>
            </w:r>
          </w:p>
          <w:p w:rsidR="000659D9" w:rsidRDefault="00000000">
            <w:pPr>
              <w:spacing w:line="240" w:lineRule="auto"/>
              <w:rPr>
                <w:b/>
                <w:sz w:val="20"/>
                <w:szCs w:val="20"/>
              </w:rPr>
            </w:pPr>
            <w:r>
              <w:rPr>
                <w:sz w:val="20"/>
                <w:szCs w:val="20"/>
              </w:rPr>
              <w:t xml:space="preserve">In one study [Park, 2020], </w:t>
            </w:r>
            <w:r>
              <w:rPr>
                <w:b/>
                <w:sz w:val="20"/>
                <w:szCs w:val="20"/>
              </w:rPr>
              <w:t>the absence of restricted diffusion</w:t>
            </w:r>
            <w:r>
              <w:rPr>
                <w:sz w:val="20"/>
                <w:szCs w:val="20"/>
              </w:rPr>
              <w:t xml:space="preserve"> was assessed at 3.1 h and 77.6 h after ROSC. Earlier MRI assessment predicted good outcome at six months with </w:t>
            </w:r>
            <w:r>
              <w:rPr>
                <w:b/>
                <w:sz w:val="20"/>
                <w:szCs w:val="20"/>
              </w:rPr>
              <w:t>specificity of 60% (sensitivity 100%)</w:t>
            </w:r>
            <w:r>
              <w:rPr>
                <w:sz w:val="20"/>
                <w:szCs w:val="20"/>
              </w:rPr>
              <w:t xml:space="preserve"> and later MRI assessment with </w:t>
            </w:r>
            <w:r>
              <w:rPr>
                <w:b/>
                <w:sz w:val="20"/>
                <w:szCs w:val="20"/>
              </w:rPr>
              <w:t>specificity of 93% (sensitivity 100%)</w:t>
            </w:r>
            <w:r>
              <w:rPr>
                <w:sz w:val="20"/>
                <w:szCs w:val="20"/>
              </w:rPr>
              <w:t xml:space="preserve">. In another study [Jang 2020], the MRI was assessed around 70 hours (74.5 h) after ROSC. In that study, </w:t>
            </w:r>
            <w:r>
              <w:rPr>
                <w:b/>
                <w:sz w:val="20"/>
                <w:szCs w:val="20"/>
              </w:rPr>
              <w:t xml:space="preserve">absence of DWI lesions </w:t>
            </w:r>
            <w:r>
              <w:rPr>
                <w:sz w:val="20"/>
                <w:szCs w:val="20"/>
              </w:rPr>
              <w:t xml:space="preserve">predicted good outcome at six months </w:t>
            </w:r>
            <w:r>
              <w:rPr>
                <w:b/>
                <w:sz w:val="20"/>
                <w:szCs w:val="20"/>
              </w:rPr>
              <w:t>with specificity of 93% (sensitivity 92%).</w:t>
            </w:r>
          </w:p>
          <w:p w:rsidR="000659D9" w:rsidRDefault="00000000">
            <w:pPr>
              <w:spacing w:line="240" w:lineRule="auto"/>
              <w:rPr>
                <w:sz w:val="20"/>
                <w:szCs w:val="20"/>
              </w:rPr>
            </w:pPr>
            <w:r>
              <w:rPr>
                <w:sz w:val="20"/>
                <w:szCs w:val="20"/>
              </w:rPr>
              <w:t xml:space="preserve">In one study (Jang, 2019, 142) on 39 patients, the </w:t>
            </w:r>
            <w:r>
              <w:rPr>
                <w:b/>
                <w:sz w:val="20"/>
                <w:szCs w:val="20"/>
              </w:rPr>
              <w:t>absence of restricted diffusion</w:t>
            </w:r>
            <w:r>
              <w:rPr>
                <w:sz w:val="20"/>
                <w:szCs w:val="20"/>
              </w:rPr>
              <w:t xml:space="preserve"> on MRI at 77.6 (75.9–80) h after ROSC predicted good outcome at 6 months with </w:t>
            </w:r>
            <w:r>
              <w:rPr>
                <w:b/>
                <w:sz w:val="20"/>
                <w:szCs w:val="20"/>
              </w:rPr>
              <w:t>93.3 [68.1–99.8] specificity</w:t>
            </w:r>
            <w:r>
              <w:rPr>
                <w:sz w:val="20"/>
                <w:szCs w:val="20"/>
              </w:rPr>
              <w:t xml:space="preserve"> and </w:t>
            </w:r>
            <w:r>
              <w:rPr>
                <w:b/>
                <w:sz w:val="20"/>
                <w:szCs w:val="20"/>
              </w:rPr>
              <w:t>100 [86.7–100] sensitivity</w:t>
            </w:r>
            <w:r>
              <w:rPr>
                <w:sz w:val="20"/>
                <w:szCs w:val="20"/>
              </w:rPr>
              <w:t xml:space="preserve"> (very-low certainty of evidence).</w:t>
            </w:r>
          </w:p>
          <w:p w:rsidR="000659D9" w:rsidRDefault="00000000">
            <w:pPr>
              <w:spacing w:line="240" w:lineRule="auto"/>
              <w:rPr>
                <w:b/>
                <w:sz w:val="20"/>
                <w:szCs w:val="20"/>
              </w:rPr>
            </w:pPr>
            <w:r>
              <w:rPr>
                <w:sz w:val="20"/>
                <w:szCs w:val="20"/>
              </w:rPr>
              <w:t>One study [</w:t>
            </w:r>
            <w:proofErr w:type="spellStart"/>
            <w:r>
              <w:rPr>
                <w:sz w:val="20"/>
                <w:szCs w:val="20"/>
              </w:rPr>
              <w:t>Milnash</w:t>
            </w:r>
            <w:proofErr w:type="spellEnd"/>
            <w:r>
              <w:rPr>
                <w:sz w:val="20"/>
                <w:szCs w:val="20"/>
              </w:rPr>
              <w:t xml:space="preserve">, 2010] assessed </w:t>
            </w:r>
            <w:r>
              <w:rPr>
                <w:b/>
                <w:sz w:val="20"/>
                <w:szCs w:val="20"/>
              </w:rPr>
              <w:t>the absence of DWI or fluid-attenuated inversion recovery (FLAIR) lesions</w:t>
            </w:r>
            <w:r>
              <w:rPr>
                <w:sz w:val="20"/>
                <w:szCs w:val="20"/>
              </w:rPr>
              <w:t xml:space="preserve"> within 8 days from ROSC at cortex, deep grey nuclei, and cerebellum and pons. Accuracy for predicting good outcome at six months was </w:t>
            </w:r>
            <w:r>
              <w:rPr>
                <w:b/>
                <w:sz w:val="20"/>
                <w:szCs w:val="20"/>
              </w:rPr>
              <w:t>specificity</w:t>
            </w:r>
            <w:r>
              <w:rPr>
                <w:sz w:val="20"/>
                <w:szCs w:val="20"/>
              </w:rPr>
              <w:t xml:space="preserve"> </w:t>
            </w:r>
            <w:r>
              <w:rPr>
                <w:b/>
                <w:sz w:val="20"/>
                <w:szCs w:val="20"/>
              </w:rPr>
              <w:t xml:space="preserve">80%, sensitivity 79% </w:t>
            </w:r>
            <w:r>
              <w:rPr>
                <w:sz w:val="20"/>
                <w:szCs w:val="20"/>
              </w:rPr>
              <w:t xml:space="preserve">for </w:t>
            </w:r>
            <w:r>
              <w:rPr>
                <w:b/>
                <w:sz w:val="20"/>
                <w:szCs w:val="20"/>
              </w:rPr>
              <w:t xml:space="preserve">absence of lesions in the cortex, specificity 87%, sensitivity 50%, </w:t>
            </w:r>
            <w:r>
              <w:rPr>
                <w:sz w:val="20"/>
                <w:szCs w:val="20"/>
              </w:rPr>
              <w:t xml:space="preserve">for </w:t>
            </w:r>
            <w:r>
              <w:rPr>
                <w:b/>
                <w:sz w:val="20"/>
                <w:szCs w:val="20"/>
              </w:rPr>
              <w:t xml:space="preserve">absence of lesions in the deep grey nuclei, </w:t>
            </w:r>
            <w:r>
              <w:rPr>
                <w:sz w:val="20"/>
                <w:szCs w:val="20"/>
              </w:rPr>
              <w:t>and</w:t>
            </w:r>
            <w:r>
              <w:rPr>
                <w:b/>
                <w:sz w:val="20"/>
                <w:szCs w:val="20"/>
              </w:rPr>
              <w:t xml:space="preserve"> specificity 20%, sensitivity 100% </w:t>
            </w:r>
            <w:r>
              <w:rPr>
                <w:sz w:val="20"/>
                <w:szCs w:val="20"/>
              </w:rPr>
              <w:t xml:space="preserve">for </w:t>
            </w:r>
            <w:r>
              <w:rPr>
                <w:b/>
                <w:sz w:val="20"/>
                <w:szCs w:val="20"/>
              </w:rPr>
              <w:t>absence of lesions in</w:t>
            </w:r>
            <w:r>
              <w:rPr>
                <w:sz w:val="20"/>
                <w:szCs w:val="20"/>
              </w:rPr>
              <w:t xml:space="preserve"> </w:t>
            </w:r>
            <w:r>
              <w:rPr>
                <w:b/>
                <w:sz w:val="20"/>
                <w:szCs w:val="20"/>
              </w:rPr>
              <w:t>the brainstem and cerebellum.</w:t>
            </w:r>
          </w:p>
          <w:p w:rsidR="000659D9" w:rsidRDefault="00000000">
            <w:pPr>
              <w:spacing w:line="240" w:lineRule="auto"/>
              <w:rPr>
                <w:sz w:val="20"/>
                <w:szCs w:val="20"/>
              </w:rPr>
            </w:pPr>
            <w:r>
              <w:rPr>
                <w:sz w:val="20"/>
                <w:szCs w:val="20"/>
              </w:rPr>
              <w:t>One study [</w:t>
            </w:r>
            <w:proofErr w:type="spellStart"/>
            <w:r>
              <w:rPr>
                <w:sz w:val="20"/>
                <w:szCs w:val="20"/>
              </w:rPr>
              <w:t>Wouters</w:t>
            </w:r>
            <w:proofErr w:type="spellEnd"/>
            <w:r>
              <w:rPr>
                <w:sz w:val="20"/>
                <w:szCs w:val="20"/>
              </w:rPr>
              <w:t xml:space="preserve">, 2021] determined the predictive accuracy for good outcome at six months of </w:t>
            </w:r>
            <w:r>
              <w:rPr>
                <w:b/>
                <w:sz w:val="20"/>
                <w:szCs w:val="20"/>
              </w:rPr>
              <w:t xml:space="preserve">average apparent diffusion coefficient (ADC) </w:t>
            </w:r>
            <w:r>
              <w:rPr>
                <w:sz w:val="20"/>
                <w:szCs w:val="20"/>
              </w:rPr>
              <w:t xml:space="preserve">value and </w:t>
            </w:r>
            <w:r>
              <w:rPr>
                <w:b/>
                <w:sz w:val="20"/>
                <w:szCs w:val="20"/>
              </w:rPr>
              <w:t>percentage of brain voxels with an ADC value &lt;450 x 10</w:t>
            </w:r>
            <w:r>
              <w:rPr>
                <w:b/>
                <w:sz w:val="20"/>
                <w:szCs w:val="20"/>
                <w:vertAlign w:val="superscript"/>
              </w:rPr>
              <w:t>-6</w:t>
            </w:r>
            <w:r>
              <w:rPr>
                <w:b/>
                <w:sz w:val="20"/>
                <w:szCs w:val="20"/>
              </w:rPr>
              <w:t xml:space="preserve"> mm</w:t>
            </w:r>
            <w:r>
              <w:rPr>
                <w:b/>
                <w:sz w:val="20"/>
                <w:szCs w:val="20"/>
                <w:vertAlign w:val="superscript"/>
              </w:rPr>
              <w:t>2</w:t>
            </w:r>
            <w:r>
              <w:rPr>
                <w:b/>
                <w:sz w:val="20"/>
                <w:szCs w:val="20"/>
              </w:rPr>
              <w:t>/s</w:t>
            </w:r>
            <w:r>
              <w:rPr>
                <w:sz w:val="20"/>
                <w:szCs w:val="20"/>
              </w:rPr>
              <w:t>. The thresholds for average ADC and percentages of ADC&lt; 450 x 10</w:t>
            </w:r>
            <w:r>
              <w:rPr>
                <w:sz w:val="20"/>
                <w:szCs w:val="20"/>
                <w:vertAlign w:val="superscript"/>
              </w:rPr>
              <w:t>-6</w:t>
            </w:r>
            <w:r>
              <w:rPr>
                <w:sz w:val="20"/>
                <w:szCs w:val="20"/>
              </w:rPr>
              <w:t xml:space="preserve"> mm</w:t>
            </w:r>
            <w:r>
              <w:rPr>
                <w:sz w:val="20"/>
                <w:szCs w:val="20"/>
                <w:vertAlign w:val="superscript"/>
              </w:rPr>
              <w:t>2</w:t>
            </w:r>
            <w:r>
              <w:rPr>
                <w:sz w:val="20"/>
                <w:szCs w:val="20"/>
              </w:rPr>
              <w:t xml:space="preserve"> were </w:t>
            </w:r>
            <w:r>
              <w:rPr>
                <w:sz w:val="20"/>
                <w:szCs w:val="20"/>
              </w:rPr>
              <w:lastRenderedPageBreak/>
              <w:t xml:space="preserve">determined according to 100% sensitivity to predict good outcome. </w:t>
            </w:r>
            <w:r>
              <w:rPr>
                <w:b/>
                <w:sz w:val="20"/>
                <w:szCs w:val="20"/>
              </w:rPr>
              <w:t xml:space="preserve">The average ADC value </w:t>
            </w:r>
            <w:r>
              <w:rPr>
                <w:sz w:val="20"/>
                <w:szCs w:val="20"/>
              </w:rPr>
              <w:t>to predict good outcome</w:t>
            </w:r>
            <w:r>
              <w:rPr>
                <w:b/>
                <w:sz w:val="20"/>
                <w:szCs w:val="20"/>
              </w:rPr>
              <w:t xml:space="preserve"> with 100% sensitivity was &gt;931 x 10</w:t>
            </w:r>
            <w:r>
              <w:rPr>
                <w:b/>
                <w:sz w:val="20"/>
                <w:szCs w:val="20"/>
                <w:vertAlign w:val="superscript"/>
              </w:rPr>
              <w:t>-6</w:t>
            </w:r>
            <w:r>
              <w:rPr>
                <w:b/>
                <w:sz w:val="20"/>
                <w:szCs w:val="20"/>
              </w:rPr>
              <w:t xml:space="preserve"> mm</w:t>
            </w:r>
            <w:r>
              <w:rPr>
                <w:b/>
                <w:sz w:val="20"/>
                <w:szCs w:val="20"/>
                <w:vertAlign w:val="superscript"/>
              </w:rPr>
              <w:t>2</w:t>
            </w:r>
            <w:r>
              <w:rPr>
                <w:b/>
                <w:sz w:val="20"/>
                <w:szCs w:val="20"/>
              </w:rPr>
              <w:t>/s (specificity 38%).</w:t>
            </w:r>
            <w:r>
              <w:rPr>
                <w:sz w:val="20"/>
                <w:szCs w:val="20"/>
              </w:rPr>
              <w:t xml:space="preserve"> The threshold of </w:t>
            </w:r>
            <w:r>
              <w:rPr>
                <w:b/>
                <w:sz w:val="20"/>
                <w:szCs w:val="20"/>
              </w:rPr>
              <w:t>&lt;6.5% of brain voxels with an ADC value &lt;450 x 10</w:t>
            </w:r>
            <w:r>
              <w:rPr>
                <w:b/>
                <w:sz w:val="20"/>
                <w:szCs w:val="20"/>
                <w:vertAlign w:val="superscript"/>
              </w:rPr>
              <w:t>-6</w:t>
            </w:r>
            <w:r>
              <w:rPr>
                <w:b/>
                <w:sz w:val="20"/>
                <w:szCs w:val="20"/>
              </w:rPr>
              <w:t xml:space="preserve"> mm</w:t>
            </w:r>
            <w:r>
              <w:rPr>
                <w:b/>
                <w:sz w:val="20"/>
                <w:szCs w:val="20"/>
                <w:vertAlign w:val="superscript"/>
              </w:rPr>
              <w:t>2</w:t>
            </w:r>
            <w:r>
              <w:rPr>
                <w:b/>
                <w:sz w:val="20"/>
                <w:szCs w:val="20"/>
              </w:rPr>
              <w:t>/s predicted good outcome with 100% sensitivity and 26% specificity.</w:t>
            </w:r>
          </w:p>
          <w:p w:rsidR="000659D9" w:rsidRDefault="00000000">
            <w:pPr>
              <w:spacing w:line="240" w:lineRule="auto"/>
              <w:rPr>
                <w:sz w:val="20"/>
                <w:szCs w:val="20"/>
              </w:rPr>
            </w:pPr>
            <w:r>
              <w:rPr>
                <w:sz w:val="20"/>
                <w:szCs w:val="20"/>
              </w:rPr>
              <w:t>The certainty of evidence was very low for all studies.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spacing w:line="240" w:lineRule="auto"/>
              <w:rPr>
                <w:sz w:val="20"/>
                <w:szCs w:val="20"/>
              </w:rPr>
            </w:pPr>
            <w:r>
              <w:rPr>
                <w:sz w:val="20"/>
                <w:szCs w:val="20"/>
              </w:rPr>
              <w:lastRenderedPageBreak/>
              <w:t xml:space="preserve">Acute PCABI is characterised by cytotoxic oedema, cellular swelling, and restriction of water diffusion in affected brain areas which appears as a hyperintensity on DWI with corresponding low apparent diffusion coefficient (ADC). </w:t>
            </w:r>
          </w:p>
          <w:p w:rsidR="000659D9" w:rsidRDefault="00000000">
            <w:pPr>
              <w:spacing w:line="240" w:lineRule="auto"/>
              <w:rPr>
                <w:sz w:val="20"/>
                <w:szCs w:val="20"/>
              </w:rPr>
            </w:pPr>
            <w:r>
              <w:rPr>
                <w:sz w:val="20"/>
                <w:szCs w:val="20"/>
              </w:rPr>
              <w:t xml:space="preserve">The absence of DWI changes is a potentially valuable predictor of good clinical </w:t>
            </w:r>
          </w:p>
          <w:p w:rsidR="000659D9" w:rsidRDefault="00000000">
            <w:pPr>
              <w:spacing w:line="240" w:lineRule="auto"/>
              <w:rPr>
                <w:sz w:val="20"/>
                <w:szCs w:val="20"/>
              </w:rPr>
            </w:pPr>
            <w:r>
              <w:rPr>
                <w:sz w:val="20"/>
                <w:szCs w:val="20"/>
              </w:rPr>
              <w:t xml:space="preserve">The development of brain oedema after CA is time-dependent, and the extent of changes may not be evident before 3–7 days after </w:t>
            </w:r>
            <w:proofErr w:type="gramStart"/>
            <w:r>
              <w:rPr>
                <w:sz w:val="20"/>
                <w:szCs w:val="20"/>
              </w:rPr>
              <w:t>CA .The</w:t>
            </w:r>
            <w:proofErr w:type="gramEnd"/>
            <w:r>
              <w:rPr>
                <w:sz w:val="20"/>
                <w:szCs w:val="20"/>
              </w:rPr>
              <w:t xml:space="preserve"> only study we included that assessed MRI serially showed that the accuracy of MRI was higher at 77.6h vs 3.1h after ROSC. </w:t>
            </w:r>
          </w:p>
          <w:p w:rsidR="000659D9" w:rsidRDefault="00000000">
            <w:pPr>
              <w:spacing w:line="240" w:lineRule="auto"/>
              <w:rPr>
                <w:sz w:val="20"/>
                <w:szCs w:val="20"/>
              </w:rPr>
            </w:pPr>
            <w:r>
              <w:rPr>
                <w:sz w:val="20"/>
                <w:szCs w:val="20"/>
              </w:rPr>
              <w:t>The spatial distribution of brain injury is also of relevance, due to the selective vulnerability of specific brain areas to post CA brain injury.</w:t>
            </w:r>
          </w:p>
        </w:tc>
      </w:tr>
      <w:tr w:rsidR="000659D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Undesirable Effects</w:t>
            </w:r>
          </w:p>
          <w:p w:rsidR="000659D9"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undesirable anticipated effects?</w:t>
            </w:r>
          </w:p>
        </w:tc>
      </w:tr>
      <w:tr w:rsidR="000659D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0659D9">
        <w:trPr>
          <w:trHeight w:val="175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spacing w:after="0"/>
              <w:rPr>
                <w:sz w:val="20"/>
                <w:szCs w:val="20"/>
              </w:rPr>
            </w:pPr>
            <w:r>
              <w:rPr>
                <w:sz w:val="20"/>
                <w:szCs w:val="20"/>
              </w:rPr>
              <w:t>○ Large</w:t>
            </w:r>
            <w:r>
              <w:rPr>
                <w:sz w:val="20"/>
                <w:szCs w:val="20"/>
              </w:rPr>
              <w:br/>
              <w:t>○ Moderate</w:t>
            </w:r>
            <w:r>
              <w:rPr>
                <w:sz w:val="20"/>
                <w:szCs w:val="20"/>
              </w:rPr>
              <w:br/>
              <w:t xml:space="preserve">● Small </w:t>
            </w:r>
            <w:r>
              <w:rPr>
                <w:sz w:val="20"/>
                <w:szCs w:val="20"/>
              </w:rPr>
              <w:br/>
              <w:t xml:space="preserve">○ Trivial </w:t>
            </w:r>
          </w:p>
          <w:p w:rsidR="000659D9" w:rsidRDefault="00000000">
            <w:pPr>
              <w:spacing w:after="0"/>
              <w:rPr>
                <w:sz w:val="20"/>
                <w:szCs w:val="20"/>
              </w:rPr>
            </w:pPr>
            <w:r>
              <w:rPr>
                <w:sz w:val="20"/>
                <w:szCs w:val="20"/>
              </w:rPr>
              <w:t>○ Varies </w:t>
            </w:r>
          </w:p>
          <w:p w:rsidR="000659D9" w:rsidRDefault="00000000">
            <w:pPr>
              <w:rPr>
                <w:sz w:val="20"/>
                <w:szCs w:val="20"/>
              </w:rPr>
            </w:pPr>
            <w:r>
              <w:rPr>
                <w:sz w:val="20"/>
                <w:szCs w:val="20"/>
              </w:rP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20"/>
                <w:szCs w:val="20"/>
              </w:rPr>
            </w:pPr>
            <w:r>
              <w:rPr>
                <w:sz w:val="20"/>
                <w:szCs w:val="20"/>
              </w:rPr>
              <w:t>Brain imaging is usually not available at the bedside. Patients after cardiac arrest are often hemodynamically unstable, and intra-hospital transport may carry additional risk.</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20"/>
                <w:szCs w:val="20"/>
              </w:rPr>
            </w:pPr>
            <w:r>
              <w:rPr>
                <w:sz w:val="20"/>
                <w:szCs w:val="20"/>
              </w:rPr>
              <w:t xml:space="preserve">A falsely optimistic prediction in a patient with poor neurological outcome may potentially lead to therapeutic obstinacy. </w:t>
            </w:r>
          </w:p>
        </w:tc>
      </w:tr>
      <w:tr w:rsidR="000659D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w:t>
            </w:r>
          </w:p>
          <w:p w:rsidR="000659D9"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overall certainty of the evidence of effects?</w:t>
            </w:r>
          </w:p>
        </w:tc>
      </w:tr>
      <w:tr w:rsidR="000659D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0659D9">
        <w:trPr>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spacing w:after="0"/>
              <w:rPr>
                <w:sz w:val="20"/>
                <w:szCs w:val="20"/>
              </w:rPr>
            </w:pPr>
            <w:r>
              <w:rPr>
                <w:sz w:val="20"/>
                <w:szCs w:val="20"/>
              </w:rPr>
              <w:t>● Very low</w:t>
            </w:r>
            <w:r>
              <w:rPr>
                <w:sz w:val="20"/>
                <w:szCs w:val="20"/>
              </w:rPr>
              <w:br/>
              <w:t xml:space="preserve">○ Low </w:t>
            </w:r>
          </w:p>
          <w:p w:rsidR="000659D9" w:rsidRDefault="00000000">
            <w:pPr>
              <w:rPr>
                <w:sz w:val="20"/>
                <w:szCs w:val="20"/>
              </w:rPr>
            </w:pPr>
            <w:r>
              <w:rPr>
                <w:sz w:val="20"/>
                <w:szCs w:val="20"/>
              </w:rPr>
              <w:t>○ Moderate</w:t>
            </w:r>
            <w:r>
              <w:rPr>
                <w:sz w:val="20"/>
                <w:szCs w:val="20"/>
              </w:rPr>
              <w:br/>
              <w:t>○ High</w:t>
            </w:r>
            <w:r>
              <w:rPr>
                <w:sz w:val="20"/>
                <w:szCs w:val="20"/>
              </w:rPr>
              <w:br/>
              <w:t>○ No included studies</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20"/>
                <w:szCs w:val="20"/>
              </w:rPr>
            </w:pPr>
            <w:r>
              <w:rPr>
                <w:sz w:val="20"/>
                <w:szCs w:val="20"/>
              </w:rPr>
              <w:t>The certainty of the evidence for DWI-MRI is very low because of the lack of blinding and the lack of established criteria of DWI or ADC thresholds to define a ‘positive’ MRI. An additional issue is selection bias. All DWI-MRI studies investigating good outcome prediction were small retrospective studies.</w:t>
            </w:r>
          </w:p>
          <w:p w:rsidR="000659D9" w:rsidRDefault="00000000">
            <w:pPr>
              <w:jc w:val="both"/>
              <w:rPr>
                <w:sz w:val="20"/>
                <w:szCs w:val="20"/>
              </w:rPr>
            </w:pPr>
            <w:r>
              <w:rPr>
                <w:sz w:val="20"/>
                <w:szCs w:val="20"/>
              </w:rPr>
              <w:t xml:space="preserve">Apparent diffusion coefficient (ADC) allows a quantification of the diffusion changes on brain MRI. However, the evidence is limited to one study, and no ADC threshold for prediction of good neurological outcome has been established. </w:t>
            </w:r>
          </w:p>
          <w:p w:rsidR="000659D9" w:rsidRDefault="000659D9">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20"/>
                <w:szCs w:val="20"/>
              </w:rPr>
            </w:pPr>
            <w:r>
              <w:rPr>
                <w:sz w:val="20"/>
                <w:szCs w:val="20"/>
              </w:rPr>
              <w:t xml:space="preserve">Unlike other predictors, such as those based on clinical examination, imaging is not affected by sedation or paralysis and can potentially be assessed blindly. </w:t>
            </w:r>
          </w:p>
          <w:p w:rsidR="000659D9" w:rsidRDefault="00000000">
            <w:pPr>
              <w:rPr>
                <w:sz w:val="20"/>
                <w:szCs w:val="20"/>
              </w:rPr>
            </w:pPr>
            <w:r>
              <w:rPr>
                <w:sz w:val="20"/>
                <w:szCs w:val="20"/>
              </w:rPr>
              <w:t xml:space="preserve">The interpretation of quantitative imaging results is operator dependent. However, as far as poor outcome prediction is concerned, at least one study showed that expert neuroradiologists' visual assessment of brain CT </w:t>
            </w:r>
            <w:r>
              <w:rPr>
                <w:sz w:val="20"/>
                <w:szCs w:val="20"/>
              </w:rPr>
              <w:lastRenderedPageBreak/>
              <w:t>provided an accurate prediction. Similarly, we feel that an expert neuroradiologist should be able to detect the absence of pathological findings on MRI.</w:t>
            </w:r>
          </w:p>
          <w:p w:rsidR="000659D9" w:rsidRDefault="00000000">
            <w:pPr>
              <w:rPr>
                <w:sz w:val="20"/>
                <w:szCs w:val="20"/>
              </w:rPr>
            </w:pPr>
            <w:r>
              <w:rPr>
                <w:sz w:val="20"/>
                <w:szCs w:val="20"/>
              </w:rPr>
              <w:t>Variations in the measurement methods (e.g., location of the region of interest) and differences in MRI scanners and scanning protocols might exist. Standardisation and normalisation of imaging techniques are of value.</w:t>
            </w:r>
          </w:p>
        </w:tc>
      </w:tr>
      <w:tr w:rsidR="000659D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Values</w:t>
            </w:r>
          </w:p>
          <w:p w:rsidR="000659D9" w:rsidRDefault="00000000">
            <w:pPr>
              <w:pBdr>
                <w:top w:val="nil"/>
                <w:left w:val="nil"/>
                <w:bottom w:val="nil"/>
                <w:right w:val="nil"/>
                <w:between w:val="nil"/>
              </w:pBdr>
              <w:spacing w:after="0" w:line="240" w:lineRule="auto"/>
              <w:rPr>
                <w:color w:val="FFFFFF"/>
                <w:sz w:val="16"/>
                <w:szCs w:val="16"/>
              </w:rPr>
            </w:pPr>
            <w:r>
              <w:rPr>
                <w:color w:val="FFFFFF"/>
                <w:sz w:val="16"/>
                <w:szCs w:val="16"/>
              </w:rPr>
              <w:t>Is there important uncertainty about or variability in how much people value the main outcomes?</w:t>
            </w:r>
          </w:p>
        </w:tc>
      </w:tr>
      <w:tr w:rsidR="000659D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0659D9">
        <w:trPr>
          <w:trHeight w:val="228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20"/>
                <w:szCs w:val="20"/>
              </w:rPr>
            </w:pPr>
            <w:r>
              <w:rPr>
                <w:sz w:val="20"/>
                <w:szCs w:val="20"/>
              </w:rPr>
              <w:t>○ Important uncertainty or variability</w:t>
            </w:r>
            <w:r>
              <w:rPr>
                <w:sz w:val="20"/>
                <w:szCs w:val="20"/>
              </w:rPr>
              <w:br/>
              <w:t>○ Possibly important uncertainty or variability</w:t>
            </w:r>
            <w:r>
              <w:rPr>
                <w:sz w:val="20"/>
                <w:szCs w:val="20"/>
              </w:rPr>
              <w:br/>
              <w:t>● Probably no important uncertainty or variability</w:t>
            </w:r>
            <w:r>
              <w:rPr>
                <w:sz w:val="20"/>
                <w:szCs w:val="20"/>
              </w:rPr>
              <w:br/>
              <w:t>○ No important uncertainty or variability</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20"/>
                <w:szCs w:val="20"/>
              </w:rPr>
            </w:pPr>
            <w:r>
              <w:rPr>
                <w:sz w:val="20"/>
                <w:szCs w:val="20"/>
              </w:rPr>
              <w:t>A good outcome was defined as CPC 1-2 in all but one study (</w:t>
            </w:r>
            <w:proofErr w:type="spellStart"/>
            <w:r>
              <w:rPr>
                <w:sz w:val="20"/>
                <w:szCs w:val="20"/>
              </w:rPr>
              <w:t>Mlynash</w:t>
            </w:r>
            <w:proofErr w:type="spellEnd"/>
            <w:r>
              <w:rPr>
                <w:sz w:val="20"/>
                <w:szCs w:val="20"/>
              </w:rPr>
              <w:t>, 2010, 1665), in which good outcome was defined as CPC 1-3.</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20"/>
                <w:szCs w:val="20"/>
              </w:rPr>
            </w:pPr>
            <w:r>
              <w:rPr>
                <w:sz w:val="20"/>
                <w:szCs w:val="20"/>
              </w:rPr>
              <w:t>There may be interindividual variations in how good neurological outcome is perceived.</w:t>
            </w:r>
          </w:p>
        </w:tc>
      </w:tr>
      <w:tr w:rsidR="000659D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Balance of effects</w:t>
            </w:r>
          </w:p>
          <w:p w:rsidR="000659D9" w:rsidRDefault="00000000">
            <w:pPr>
              <w:pBdr>
                <w:top w:val="nil"/>
                <w:left w:val="nil"/>
                <w:bottom w:val="nil"/>
                <w:right w:val="nil"/>
                <w:between w:val="nil"/>
              </w:pBdr>
              <w:spacing w:after="0" w:line="240" w:lineRule="auto"/>
              <w:rPr>
                <w:color w:val="FFFFFF"/>
                <w:sz w:val="16"/>
                <w:szCs w:val="16"/>
              </w:rPr>
            </w:pPr>
            <w:r>
              <w:rPr>
                <w:color w:val="FFFFFF"/>
                <w:sz w:val="16"/>
                <w:szCs w:val="16"/>
              </w:rPr>
              <w:t xml:space="preserve">Does the balance between desirable and undesirable effects </w:t>
            </w:r>
            <w:proofErr w:type="spellStart"/>
            <w:r>
              <w:rPr>
                <w:color w:val="FFFFFF"/>
                <w:sz w:val="16"/>
                <w:szCs w:val="16"/>
              </w:rPr>
              <w:t>favor</w:t>
            </w:r>
            <w:proofErr w:type="spellEnd"/>
            <w:r>
              <w:rPr>
                <w:color w:val="FFFFFF"/>
                <w:sz w:val="16"/>
                <w:szCs w:val="16"/>
              </w:rPr>
              <w:t xml:space="preserve"> the intervention or the comparison?</w:t>
            </w:r>
          </w:p>
        </w:tc>
      </w:tr>
      <w:tr w:rsidR="000659D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0659D9">
        <w:trPr>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20"/>
                <w:szCs w:val="20"/>
              </w:rPr>
            </w:pPr>
            <w:r>
              <w:rPr>
                <w:sz w:val="20"/>
                <w:szCs w:val="20"/>
              </w:rPr>
              <w:lastRenderedPageBreak/>
              <w:t>○ Favours the comparison</w:t>
            </w:r>
            <w:r>
              <w:rPr>
                <w:sz w:val="20"/>
                <w:szCs w:val="20"/>
              </w:rPr>
              <w:br/>
              <w:t>○ Probably favours the comparison</w:t>
            </w:r>
            <w:r>
              <w:rPr>
                <w:sz w:val="20"/>
                <w:szCs w:val="20"/>
              </w:rPr>
              <w:br/>
              <w:t>○ Does not favour either the intervention or the comparison</w:t>
            </w:r>
            <w:r>
              <w:rPr>
                <w:sz w:val="20"/>
                <w:szCs w:val="20"/>
              </w:rPr>
              <w:br/>
              <w:t>● Probably favours the intervention</w:t>
            </w:r>
            <w:r>
              <w:rPr>
                <w:sz w:val="20"/>
                <w:szCs w:val="20"/>
              </w:rPr>
              <w:br/>
              <w:t>○ Favours the intervention</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20"/>
                <w:szCs w:val="20"/>
              </w:rPr>
            </w:pPr>
            <w:r>
              <w:rPr>
                <w:sz w:val="20"/>
                <w:szCs w:val="20"/>
              </w:rPr>
              <w:t xml:space="preserve">The absence of restricted diffusion on MRI is associated with good outcome after cardiac arrest. </w:t>
            </w:r>
          </w:p>
          <w:p w:rsidR="000659D9" w:rsidRDefault="00000000">
            <w:pPr>
              <w:rPr>
                <w:sz w:val="20"/>
                <w:szCs w:val="20"/>
              </w:rPr>
            </w:pPr>
            <w:r>
              <w:rPr>
                <w:sz w:val="20"/>
                <w:szCs w:val="20"/>
              </w:rPr>
              <w:t xml:space="preserve">In two studies [Park, 2020; Jang 2020] the absence of restricted diffusion in DWI-MRI assessed at around three days after CA predicted good outcome with high sensitivity and specificity (92-100% and 93%, respectively). </w:t>
            </w:r>
          </w:p>
          <w:p w:rsidR="000659D9" w:rsidRDefault="000659D9">
            <w:pPr>
              <w:rPr>
                <w:sz w:val="20"/>
                <w:szCs w:val="20"/>
              </w:rPr>
            </w:pPr>
          </w:p>
          <w:p w:rsidR="000659D9" w:rsidRDefault="000659D9">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b/>
                <w:sz w:val="20"/>
                <w:szCs w:val="20"/>
              </w:rPr>
            </w:pPr>
            <w:r>
              <w:rPr>
                <w:sz w:val="20"/>
                <w:szCs w:val="20"/>
              </w:rPr>
              <w:br/>
            </w:r>
          </w:p>
        </w:tc>
      </w:tr>
      <w:tr w:rsidR="000659D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Resources required</w:t>
            </w:r>
          </w:p>
          <w:p w:rsidR="000659D9" w:rsidRDefault="00000000">
            <w:pPr>
              <w:pBdr>
                <w:top w:val="nil"/>
                <w:left w:val="nil"/>
                <w:bottom w:val="nil"/>
                <w:right w:val="nil"/>
                <w:between w:val="nil"/>
              </w:pBdr>
              <w:spacing w:after="0" w:line="240" w:lineRule="auto"/>
              <w:rPr>
                <w:color w:val="FFFFFF"/>
                <w:sz w:val="16"/>
                <w:szCs w:val="16"/>
              </w:rPr>
            </w:pPr>
            <w:r>
              <w:rPr>
                <w:color w:val="FFFFFF"/>
                <w:sz w:val="16"/>
                <w:szCs w:val="16"/>
              </w:rPr>
              <w:t>How large are the resource requirements (costs)?</w:t>
            </w:r>
          </w:p>
        </w:tc>
      </w:tr>
      <w:tr w:rsidR="000659D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0659D9">
        <w:trPr>
          <w:trHeight w:val="204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spacing w:after="0"/>
              <w:rPr>
                <w:sz w:val="20"/>
                <w:szCs w:val="20"/>
              </w:rPr>
            </w:pPr>
            <w:r>
              <w:rPr>
                <w:sz w:val="20"/>
                <w:szCs w:val="20"/>
              </w:rPr>
              <w:t>○ Large costs</w:t>
            </w:r>
            <w:r>
              <w:rPr>
                <w:sz w:val="20"/>
                <w:szCs w:val="20"/>
              </w:rPr>
              <w:br/>
              <w:t>○ Moderate costs</w:t>
            </w:r>
            <w:r>
              <w:rPr>
                <w:sz w:val="20"/>
                <w:szCs w:val="20"/>
              </w:rPr>
              <w:br/>
              <w:t>○Negligible costs and savings</w:t>
            </w:r>
            <w:r>
              <w:rPr>
                <w:sz w:val="20"/>
                <w:szCs w:val="20"/>
              </w:rPr>
              <w:br/>
              <w:t>○ Moderate savings</w:t>
            </w:r>
            <w:r>
              <w:rPr>
                <w:sz w:val="20"/>
                <w:szCs w:val="20"/>
              </w:rPr>
              <w:br/>
              <w:t>○ Large savings</w:t>
            </w:r>
            <w:r>
              <w:rPr>
                <w:sz w:val="20"/>
                <w:szCs w:val="20"/>
              </w:rPr>
              <w:br/>
              <w:t>○ Varies </w:t>
            </w:r>
          </w:p>
          <w:p w:rsidR="000659D9" w:rsidRDefault="00000000">
            <w:pPr>
              <w:rPr>
                <w:sz w:val="20"/>
                <w:szCs w:val="20"/>
              </w:rPr>
            </w:pPr>
            <w:r>
              <w:rPr>
                <w:sz w:val="20"/>
                <w:szCs w:val="20"/>
              </w:rP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20"/>
                <w:szCs w:val="20"/>
              </w:rPr>
            </w:pPr>
            <w:r>
              <w:rPr>
                <w:sz w:val="20"/>
                <w:szCs w:val="20"/>
              </w:rPr>
              <w:t>No study assessing costs or savings related to prognostication based on imaging has been included in our review. However, the costs of MRI are higher when compared with those of clinical examination.</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659D9">
            <w:pPr>
              <w:rPr>
                <w:sz w:val="20"/>
                <w:szCs w:val="20"/>
              </w:rPr>
            </w:pPr>
          </w:p>
        </w:tc>
      </w:tr>
      <w:tr w:rsidR="000659D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 of required resources</w:t>
            </w:r>
          </w:p>
          <w:p w:rsidR="000659D9"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certainty of the evidence of resource requirements (costs)?</w:t>
            </w:r>
          </w:p>
        </w:tc>
      </w:tr>
      <w:tr w:rsidR="000659D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0659D9">
        <w:trPr>
          <w:trHeight w:val="13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18"/>
                <w:szCs w:val="18"/>
              </w:rPr>
            </w:pPr>
            <w:r>
              <w:rPr>
                <w:sz w:val="18"/>
                <w:szCs w:val="18"/>
              </w:rPr>
              <w:t>○ Very low</w:t>
            </w:r>
            <w:r>
              <w:rPr>
                <w:sz w:val="18"/>
                <w:szCs w:val="18"/>
              </w:rPr>
              <w:br/>
              <w:t>○ Low</w:t>
            </w:r>
            <w:r>
              <w:rPr>
                <w:sz w:val="18"/>
                <w:szCs w:val="18"/>
              </w:rPr>
              <w:br/>
              <w:t>○ Moderate</w:t>
            </w:r>
            <w:r>
              <w:rPr>
                <w:sz w:val="18"/>
                <w:szCs w:val="18"/>
              </w:rPr>
              <w:br/>
              <w:t>○ High</w:t>
            </w:r>
            <w:r>
              <w:rPr>
                <w:sz w:val="18"/>
                <w:szCs w:val="18"/>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18"/>
                <w:szCs w:val="18"/>
              </w:rPr>
            </w:pPr>
            <w:r>
              <w:rPr>
                <w:sz w:val="18"/>
                <w:szCs w:val="18"/>
              </w:rPr>
              <w:t xml:space="preserve">We did not identify any studies specifically assessing costs of imaging for prognostication after cardiac arrest.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18"/>
                <w:szCs w:val="18"/>
              </w:rPr>
            </w:pPr>
            <w:r>
              <w:rPr>
                <w:sz w:val="18"/>
                <w:szCs w:val="18"/>
              </w:rPr>
              <w:br/>
            </w:r>
          </w:p>
        </w:tc>
      </w:tr>
      <w:tr w:rsidR="000659D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Cost effectiveness</w:t>
            </w:r>
          </w:p>
          <w:p w:rsidR="000659D9" w:rsidRDefault="00000000">
            <w:pPr>
              <w:pBdr>
                <w:top w:val="nil"/>
                <w:left w:val="nil"/>
                <w:bottom w:val="nil"/>
                <w:right w:val="nil"/>
                <w:between w:val="nil"/>
              </w:pBdr>
              <w:spacing w:after="0" w:line="240" w:lineRule="auto"/>
              <w:rPr>
                <w:color w:val="FFFFFF"/>
                <w:sz w:val="16"/>
                <w:szCs w:val="16"/>
              </w:rPr>
            </w:pPr>
            <w:r>
              <w:rPr>
                <w:color w:val="FFFFFF"/>
                <w:sz w:val="16"/>
                <w:szCs w:val="16"/>
              </w:rPr>
              <w:t xml:space="preserve">Does the cost-effectiveness of the intervention </w:t>
            </w:r>
            <w:proofErr w:type="spellStart"/>
            <w:r>
              <w:rPr>
                <w:color w:val="FFFFFF"/>
                <w:sz w:val="16"/>
                <w:szCs w:val="16"/>
              </w:rPr>
              <w:t>favor</w:t>
            </w:r>
            <w:proofErr w:type="spellEnd"/>
            <w:r>
              <w:rPr>
                <w:color w:val="FFFFFF"/>
                <w:sz w:val="16"/>
                <w:szCs w:val="16"/>
              </w:rPr>
              <w:t xml:space="preserve"> the intervention or the comparison?</w:t>
            </w:r>
          </w:p>
        </w:tc>
      </w:tr>
      <w:tr w:rsidR="000659D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0659D9">
        <w:trPr>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18"/>
                <w:szCs w:val="18"/>
              </w:rPr>
            </w:pPr>
            <w:r>
              <w:rPr>
                <w:sz w:val="18"/>
                <w:szCs w:val="18"/>
              </w:rPr>
              <w:lastRenderedPageBreak/>
              <w:t>○ </w:t>
            </w:r>
            <w:proofErr w:type="spellStart"/>
            <w:r>
              <w:rPr>
                <w:sz w:val="18"/>
                <w:szCs w:val="18"/>
              </w:rPr>
              <w:t>Favors</w:t>
            </w:r>
            <w:proofErr w:type="spellEnd"/>
            <w:r>
              <w:rPr>
                <w:sz w:val="18"/>
                <w:szCs w:val="18"/>
              </w:rPr>
              <w:t xml:space="preserve"> the comparison</w:t>
            </w:r>
            <w:r>
              <w:rPr>
                <w:sz w:val="18"/>
                <w:szCs w:val="18"/>
              </w:rPr>
              <w:br/>
              <w:t xml:space="preserve">○ Probably </w:t>
            </w:r>
            <w:proofErr w:type="spellStart"/>
            <w:r>
              <w:rPr>
                <w:sz w:val="18"/>
                <w:szCs w:val="18"/>
              </w:rPr>
              <w:t>favors</w:t>
            </w:r>
            <w:proofErr w:type="spellEnd"/>
            <w:r>
              <w:rPr>
                <w:sz w:val="18"/>
                <w:szCs w:val="18"/>
              </w:rPr>
              <w:t xml:space="preserve"> the comparison</w:t>
            </w:r>
            <w:r>
              <w:rPr>
                <w:sz w:val="18"/>
                <w:szCs w:val="18"/>
              </w:rPr>
              <w:br/>
              <w:t xml:space="preserve">○ Does not </w:t>
            </w:r>
            <w:proofErr w:type="spellStart"/>
            <w:r>
              <w:rPr>
                <w:sz w:val="18"/>
                <w:szCs w:val="18"/>
              </w:rPr>
              <w:t>favor</w:t>
            </w:r>
            <w:proofErr w:type="spellEnd"/>
            <w:r>
              <w:rPr>
                <w:sz w:val="18"/>
                <w:szCs w:val="18"/>
              </w:rPr>
              <w:t xml:space="preserve"> either the intervention or the comparison</w:t>
            </w:r>
            <w:r>
              <w:rPr>
                <w:sz w:val="18"/>
                <w:szCs w:val="18"/>
              </w:rPr>
              <w:br/>
              <w:t xml:space="preserve">○ Probably </w:t>
            </w:r>
            <w:proofErr w:type="spellStart"/>
            <w:r>
              <w:rPr>
                <w:sz w:val="18"/>
                <w:szCs w:val="18"/>
              </w:rPr>
              <w:t>favors</w:t>
            </w:r>
            <w:proofErr w:type="spellEnd"/>
            <w:r>
              <w:rPr>
                <w:sz w:val="18"/>
                <w:szCs w:val="18"/>
              </w:rPr>
              <w:t xml:space="preserve"> the intervention</w:t>
            </w:r>
            <w:r>
              <w:rPr>
                <w:sz w:val="18"/>
                <w:szCs w:val="18"/>
              </w:rPr>
              <w:br/>
              <w:t>○ </w:t>
            </w:r>
            <w:proofErr w:type="spellStart"/>
            <w:r>
              <w:rPr>
                <w:sz w:val="18"/>
                <w:szCs w:val="18"/>
              </w:rPr>
              <w:t>Favors</w:t>
            </w:r>
            <w:proofErr w:type="spellEnd"/>
            <w:r>
              <w:rPr>
                <w:sz w:val="18"/>
                <w:szCs w:val="18"/>
              </w:rPr>
              <w:t xml:space="preserve"> the intervention</w:t>
            </w:r>
            <w:r>
              <w:rPr>
                <w:sz w:val="18"/>
                <w:szCs w:val="18"/>
              </w:rPr>
              <w:br/>
              <w:t>○ Varies</w:t>
            </w:r>
            <w:r>
              <w:rPr>
                <w:sz w:val="18"/>
                <w:szCs w:val="18"/>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18"/>
                <w:szCs w:val="18"/>
              </w:rPr>
            </w:pPr>
            <w:r>
              <w:rPr>
                <w:sz w:val="18"/>
                <w:szCs w:val="18"/>
              </w:rPr>
              <w:t>We did not identify any studies addressing cost-effectiveness.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18"/>
                <w:szCs w:val="18"/>
              </w:rPr>
            </w:pPr>
            <w:r>
              <w:rPr>
                <w:sz w:val="18"/>
                <w:szCs w:val="18"/>
              </w:rPr>
              <w:br/>
            </w:r>
          </w:p>
        </w:tc>
      </w:tr>
      <w:tr w:rsidR="000659D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Equity</w:t>
            </w:r>
          </w:p>
          <w:p w:rsidR="000659D9" w:rsidRDefault="00000000">
            <w:pPr>
              <w:pBdr>
                <w:top w:val="nil"/>
                <w:left w:val="nil"/>
                <w:bottom w:val="nil"/>
                <w:right w:val="nil"/>
                <w:between w:val="nil"/>
              </w:pBdr>
              <w:spacing w:after="0" w:line="240" w:lineRule="auto"/>
              <w:rPr>
                <w:color w:val="FFFFFF"/>
                <w:sz w:val="16"/>
                <w:szCs w:val="16"/>
              </w:rPr>
            </w:pPr>
            <w:r>
              <w:rPr>
                <w:color w:val="FFFFFF"/>
                <w:sz w:val="16"/>
                <w:szCs w:val="16"/>
              </w:rPr>
              <w:t>What would be the impact on health equity?</w:t>
            </w:r>
          </w:p>
        </w:tc>
      </w:tr>
      <w:tr w:rsidR="000659D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0659D9">
        <w:trPr>
          <w:trHeight w:val="48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spacing w:after="0"/>
              <w:rPr>
                <w:sz w:val="18"/>
                <w:szCs w:val="18"/>
              </w:rPr>
            </w:pPr>
            <w:r>
              <w:rPr>
                <w:sz w:val="18"/>
                <w:szCs w:val="18"/>
              </w:rPr>
              <w:t>○ Reduced</w:t>
            </w:r>
            <w:r>
              <w:rPr>
                <w:sz w:val="18"/>
                <w:szCs w:val="18"/>
              </w:rPr>
              <w:br/>
              <w:t>● Probably reduced </w:t>
            </w:r>
          </w:p>
          <w:p w:rsidR="000659D9" w:rsidRDefault="00000000">
            <w:pPr>
              <w:spacing w:after="0"/>
              <w:rPr>
                <w:sz w:val="18"/>
                <w:szCs w:val="18"/>
              </w:rPr>
            </w:pPr>
            <w:r>
              <w:rPr>
                <w:sz w:val="18"/>
                <w:szCs w:val="18"/>
              </w:rPr>
              <w:t>○ Probably no impact</w:t>
            </w:r>
            <w:r>
              <w:rPr>
                <w:sz w:val="18"/>
                <w:szCs w:val="18"/>
              </w:rPr>
              <w:br/>
              <w:t>○ Probably increased</w:t>
            </w:r>
            <w:r>
              <w:rPr>
                <w:sz w:val="18"/>
                <w:szCs w:val="18"/>
              </w:rPr>
              <w:br/>
              <w:t>○ Increased</w:t>
            </w:r>
            <w:r>
              <w:rPr>
                <w:sz w:val="18"/>
                <w:szCs w:val="18"/>
              </w:rPr>
              <w:br/>
              <w:t>○ Varies</w:t>
            </w:r>
          </w:p>
          <w:p w:rsidR="000659D9" w:rsidRDefault="00000000">
            <w:pPr>
              <w:spacing w:after="0"/>
              <w:rPr>
                <w:sz w:val="18"/>
                <w:szCs w:val="18"/>
              </w:rPr>
            </w:pPr>
            <w:r>
              <w:rPr>
                <w:sz w:val="18"/>
                <w:szCs w:val="18"/>
              </w:rP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18"/>
                <w:szCs w:val="18"/>
              </w:rPr>
            </w:pPr>
            <w:r>
              <w:rPr>
                <w:sz w:val="18"/>
                <w:szCs w:val="18"/>
              </w:rPr>
              <w:t>We did not find any studies addressing this question.</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18"/>
                <w:szCs w:val="18"/>
              </w:rPr>
            </w:pPr>
            <w:r>
              <w:rPr>
                <w:sz w:val="18"/>
                <w:szCs w:val="18"/>
              </w:rPr>
              <w:t xml:space="preserve">A problem of inequity is possible, since prognostic assessment using imaging implies resources and skills that cannot be available anywhere anytime. </w:t>
            </w:r>
          </w:p>
        </w:tc>
      </w:tr>
      <w:tr w:rsidR="000659D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Acceptability</w:t>
            </w:r>
          </w:p>
          <w:p w:rsidR="000659D9" w:rsidRDefault="00000000">
            <w:pPr>
              <w:pBdr>
                <w:top w:val="nil"/>
                <w:left w:val="nil"/>
                <w:bottom w:val="nil"/>
                <w:right w:val="nil"/>
                <w:between w:val="nil"/>
              </w:pBdr>
              <w:spacing w:after="0" w:line="240" w:lineRule="auto"/>
              <w:rPr>
                <w:color w:val="FFFFFF"/>
                <w:sz w:val="16"/>
                <w:szCs w:val="16"/>
              </w:rPr>
            </w:pPr>
            <w:r>
              <w:rPr>
                <w:color w:val="FFFFFF"/>
                <w:sz w:val="16"/>
                <w:szCs w:val="16"/>
              </w:rPr>
              <w:t>Is the intervention acceptable to key stakeholders?</w:t>
            </w:r>
          </w:p>
        </w:tc>
      </w:tr>
      <w:tr w:rsidR="000659D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0659D9">
        <w:trPr>
          <w:trHeight w:val="47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18"/>
                <w:szCs w:val="18"/>
              </w:rPr>
            </w:pPr>
            <w:r>
              <w:rPr>
                <w:sz w:val="18"/>
                <w:szCs w:val="18"/>
              </w:rPr>
              <w:t>○ No</w:t>
            </w:r>
            <w:r>
              <w:rPr>
                <w:sz w:val="18"/>
                <w:szCs w:val="18"/>
              </w:rPr>
              <w:br/>
              <w:t>○ Probably no</w:t>
            </w:r>
            <w:r>
              <w:rPr>
                <w:sz w:val="18"/>
                <w:szCs w:val="18"/>
              </w:rPr>
              <w:br/>
              <w:t>● Probably yes</w:t>
            </w:r>
            <w:r>
              <w:rPr>
                <w:sz w:val="18"/>
                <w:szCs w:val="18"/>
              </w:rPr>
              <w:br/>
              <w:t>○ Yes</w:t>
            </w:r>
            <w:r>
              <w:rPr>
                <w:sz w:val="18"/>
                <w:szCs w:val="18"/>
              </w:rPr>
              <w:br/>
              <w:t>○ Varies</w:t>
            </w:r>
            <w:r>
              <w:rPr>
                <w:sz w:val="18"/>
                <w:szCs w:val="18"/>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18"/>
                <w:szCs w:val="18"/>
              </w:rPr>
            </w:pPr>
            <w:r>
              <w:rPr>
                <w:sz w:val="18"/>
                <w:szCs w:val="18"/>
              </w:rPr>
              <w:t>We have not identified any study assessing acceptability, but acceptability is likely.</w:t>
            </w:r>
          </w:p>
          <w:p w:rsidR="000659D9" w:rsidRDefault="000659D9">
            <w:pPr>
              <w:rPr>
                <w:sz w:val="18"/>
                <w:szCs w:val="18"/>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659D9">
            <w:pPr>
              <w:rPr>
                <w:sz w:val="18"/>
                <w:szCs w:val="18"/>
              </w:rPr>
            </w:pPr>
          </w:p>
        </w:tc>
      </w:tr>
      <w:tr w:rsidR="000659D9">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Feasibility</w:t>
            </w:r>
          </w:p>
          <w:p w:rsidR="000659D9" w:rsidRDefault="00000000">
            <w:pPr>
              <w:pBdr>
                <w:top w:val="nil"/>
                <w:left w:val="nil"/>
                <w:bottom w:val="nil"/>
                <w:right w:val="nil"/>
                <w:between w:val="nil"/>
              </w:pBdr>
              <w:spacing w:after="0" w:line="240" w:lineRule="auto"/>
              <w:rPr>
                <w:color w:val="FFFFFF"/>
                <w:sz w:val="16"/>
                <w:szCs w:val="16"/>
              </w:rPr>
            </w:pPr>
            <w:r>
              <w:rPr>
                <w:color w:val="FFFFFF"/>
                <w:sz w:val="16"/>
                <w:szCs w:val="16"/>
              </w:rPr>
              <w:t>Is the intervention feasible to implement?</w:t>
            </w:r>
          </w:p>
        </w:tc>
      </w:tr>
      <w:tr w:rsidR="000659D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0659D9">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r>
            <w:r>
              <w:rPr>
                <w:sz w:val="20"/>
                <w:szCs w:val="20"/>
              </w:rPr>
              <w:lastRenderedPageBreak/>
              <w:t>○ Yes</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20"/>
                <w:szCs w:val="20"/>
              </w:rPr>
            </w:pPr>
            <w:r>
              <w:rPr>
                <w:sz w:val="20"/>
                <w:szCs w:val="20"/>
              </w:rPr>
              <w:lastRenderedPageBreak/>
              <w:t xml:space="preserve">Feasibility was not specifically addressed in any of the studies included in this review. </w:t>
            </w:r>
          </w:p>
          <w:p w:rsidR="000659D9" w:rsidRDefault="000659D9">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9D9" w:rsidRDefault="00000000">
            <w:pPr>
              <w:rPr>
                <w:sz w:val="20"/>
                <w:szCs w:val="20"/>
              </w:rPr>
            </w:pPr>
            <w:r>
              <w:rPr>
                <w:sz w:val="20"/>
                <w:szCs w:val="20"/>
              </w:rPr>
              <w:t xml:space="preserve">MRI cannot be performed at the bedside, which is a major limitation, and it carries </w:t>
            </w:r>
            <w:r>
              <w:rPr>
                <w:sz w:val="20"/>
                <w:szCs w:val="20"/>
              </w:rPr>
              <w:lastRenderedPageBreak/>
              <w:t>additional risks due to the magnetic field, which makes it incompatible with most standard monitoring equipment and with some implanted devices, such as pacemakers/defibrillators. In addition, MRI recording is a relatively long procedure.</w:t>
            </w:r>
          </w:p>
          <w:p w:rsidR="000659D9" w:rsidRDefault="00000000">
            <w:pPr>
              <w:rPr>
                <w:sz w:val="20"/>
                <w:szCs w:val="20"/>
              </w:rPr>
            </w:pPr>
            <w:r>
              <w:rPr>
                <w:sz w:val="20"/>
                <w:szCs w:val="20"/>
              </w:rPr>
              <w:t>An MRI is available in most hospitals in high-income countries, but the skills to assess the severity of HIBI on brain MRI may not be universally available.</w:t>
            </w:r>
            <w:r>
              <w:rPr>
                <w:sz w:val="20"/>
                <w:szCs w:val="20"/>
              </w:rPr>
              <w:br/>
            </w:r>
          </w:p>
        </w:tc>
      </w:tr>
    </w:tbl>
    <w:p w:rsidR="000659D9" w:rsidRDefault="00000000">
      <w:pPr>
        <w:rPr>
          <w:smallCaps/>
          <w:color w:val="000000"/>
          <w:sz w:val="30"/>
          <w:szCs w:val="30"/>
        </w:rPr>
      </w:pPr>
      <w:r>
        <w:lastRenderedPageBreak/>
        <w:br w:type="page"/>
      </w:r>
      <w:r>
        <w:rPr>
          <w:smallCaps/>
          <w:color w:val="000000"/>
          <w:sz w:val="30"/>
          <w:szCs w:val="30"/>
        </w:rPr>
        <w:lastRenderedPageBreak/>
        <w:t>SUMMARY OF JUDGEMENTS</w:t>
      </w:r>
    </w:p>
    <w:tbl>
      <w:tblPr>
        <w:tblStyle w:val="a1"/>
        <w:tblW w:w="14392" w:type="dxa"/>
        <w:tblLayout w:type="fixed"/>
        <w:tblLook w:val="0400" w:firstRow="0" w:lastRow="0" w:firstColumn="0" w:lastColumn="0" w:noHBand="0" w:noVBand="1"/>
      </w:tblPr>
      <w:tblGrid>
        <w:gridCol w:w="2358"/>
        <w:gridCol w:w="1731"/>
        <w:gridCol w:w="1733"/>
        <w:gridCol w:w="1739"/>
        <w:gridCol w:w="1744"/>
        <w:gridCol w:w="1739"/>
        <w:gridCol w:w="1655"/>
        <w:gridCol w:w="1693"/>
      </w:tblGrid>
      <w:tr w:rsidR="000659D9">
        <w:trPr>
          <w:tblHeader/>
        </w:trPr>
        <w:tc>
          <w:tcPr>
            <w:tcW w:w="2358" w:type="dxa"/>
            <w:tcMar>
              <w:top w:w="75" w:type="dxa"/>
              <w:left w:w="75" w:type="dxa"/>
              <w:bottom w:w="75" w:type="dxa"/>
              <w:right w:w="75" w:type="dxa"/>
            </w:tcMar>
            <w:vAlign w:val="center"/>
          </w:tcPr>
          <w:p w:rsidR="000659D9" w:rsidRDefault="000659D9">
            <w:pPr>
              <w:rPr>
                <w:smallCaps/>
                <w:color w:val="000000"/>
                <w:sz w:val="30"/>
                <w:szCs w:val="30"/>
              </w:rPr>
            </w:pPr>
          </w:p>
        </w:tc>
        <w:tc>
          <w:tcPr>
            <w:tcW w:w="12034" w:type="dxa"/>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0659D9" w:rsidRDefault="00000000">
            <w:pPr>
              <w:pBdr>
                <w:top w:val="nil"/>
                <w:left w:val="nil"/>
                <w:bottom w:val="nil"/>
                <w:right w:val="nil"/>
                <w:between w:val="nil"/>
              </w:pBdr>
              <w:spacing w:after="0" w:line="240" w:lineRule="auto"/>
              <w:jc w:val="center"/>
              <w:rPr>
                <w:b/>
                <w:smallCaps/>
                <w:color w:val="FFFFFF"/>
                <w:sz w:val="28"/>
                <w:szCs w:val="28"/>
              </w:rPr>
            </w:pPr>
            <w:r>
              <w:rPr>
                <w:b/>
                <w:smallCaps/>
                <w:color w:val="FFFFFF"/>
                <w:sz w:val="28"/>
                <w:szCs w:val="28"/>
              </w:rPr>
              <w:t>JUDGEMENT</w:t>
            </w:r>
          </w:p>
        </w:tc>
      </w:tr>
      <w:tr w:rsidR="000659D9">
        <w:tc>
          <w:tcPr>
            <w:tcW w:w="235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0659D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PROBLEM</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yes</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Yes</w:t>
            </w:r>
          </w:p>
        </w:tc>
        <w:tc>
          <w:tcPr>
            <w:tcW w:w="173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0659D9" w:rsidRDefault="000659D9">
            <w:pPr>
              <w:rPr>
                <w:b/>
                <w:color w:val="000000"/>
                <w:sz w:val="16"/>
                <w:szCs w:val="16"/>
              </w:rPr>
            </w:pPr>
          </w:p>
        </w:tc>
        <w:tc>
          <w:tcPr>
            <w:tcW w:w="1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0659D9">
        <w:tc>
          <w:tcPr>
            <w:tcW w:w="235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0659D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DESIRABLE EFFECTS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b/>
                <w:color w:val="000000"/>
                <w:sz w:val="16"/>
                <w:szCs w:val="16"/>
              </w:rPr>
            </w:pPr>
            <w:r>
              <w:rPr>
                <w:b/>
                <w:color w:val="BFBFBF"/>
                <w:sz w:val="16"/>
                <w:szCs w:val="16"/>
              </w:rPr>
              <w:t>Trivial</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Small</w:t>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w:t>
            </w:r>
          </w:p>
        </w:tc>
        <w:tc>
          <w:tcPr>
            <w:tcW w:w="173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0659D9" w:rsidRDefault="000659D9">
            <w:pPr>
              <w:rPr>
                <w:color w:val="AEAAAA"/>
                <w:sz w:val="16"/>
                <w:szCs w:val="16"/>
              </w:rPr>
            </w:pPr>
          </w:p>
        </w:tc>
        <w:tc>
          <w:tcPr>
            <w:tcW w:w="1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Don't know</w:t>
            </w:r>
          </w:p>
        </w:tc>
      </w:tr>
      <w:tr w:rsidR="000659D9">
        <w:tc>
          <w:tcPr>
            <w:tcW w:w="235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0659D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UNDESIRABLE EFFECTS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Large</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Moderate</w:t>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Small</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Trivial</w:t>
            </w:r>
          </w:p>
        </w:tc>
        <w:tc>
          <w:tcPr>
            <w:tcW w:w="173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0659D9" w:rsidRDefault="000659D9">
            <w:pPr>
              <w:rPr>
                <w:color w:val="000000"/>
                <w:sz w:val="16"/>
                <w:szCs w:val="16"/>
              </w:rPr>
            </w:pPr>
          </w:p>
        </w:tc>
        <w:tc>
          <w:tcPr>
            <w:tcW w:w="1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Varies</w:t>
            </w:r>
          </w:p>
        </w:tc>
        <w:tc>
          <w:tcPr>
            <w:tcW w:w="1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Don't know</w:t>
            </w:r>
          </w:p>
        </w:tc>
      </w:tr>
      <w:tr w:rsidR="000659D9">
        <w:tc>
          <w:tcPr>
            <w:tcW w:w="235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0659D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Very low</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b/>
                <w:color w:val="BFBFBF"/>
                <w:sz w:val="16"/>
                <w:szCs w:val="16"/>
              </w:rPr>
            </w:pPr>
            <w:r>
              <w:rPr>
                <w:b/>
                <w:color w:val="BFBFBF"/>
                <w:sz w:val="16"/>
                <w:szCs w:val="16"/>
              </w:rPr>
              <w:t>Low</w:t>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3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0659D9" w:rsidRDefault="000659D9">
            <w:pPr>
              <w:rPr>
                <w:color w:val="AEAAAA"/>
                <w:sz w:val="16"/>
                <w:szCs w:val="16"/>
              </w:rPr>
            </w:pPr>
          </w:p>
        </w:tc>
        <w:tc>
          <w:tcPr>
            <w:tcW w:w="1655"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0659D9" w:rsidRDefault="000659D9">
            <w:pPr>
              <w:spacing w:after="0"/>
              <w:rPr>
                <w:sz w:val="20"/>
                <w:szCs w:val="20"/>
              </w:rPr>
            </w:pPr>
          </w:p>
        </w:tc>
        <w:tc>
          <w:tcPr>
            <w:tcW w:w="1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 included studies</w:t>
            </w:r>
          </w:p>
        </w:tc>
      </w:tr>
      <w:tr w:rsidR="000659D9">
        <w:tc>
          <w:tcPr>
            <w:tcW w:w="235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0659D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VALUES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Important uncertainty or variability</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Possibly important uncertainty or variability</w:t>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Probably no important uncertainty or variability</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No important uncertainty or variability</w:t>
            </w:r>
          </w:p>
        </w:tc>
        <w:tc>
          <w:tcPr>
            <w:tcW w:w="173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0659D9" w:rsidRDefault="000659D9">
            <w:pPr>
              <w:rPr>
                <w:color w:val="AEAAAA"/>
                <w:sz w:val="16"/>
                <w:szCs w:val="16"/>
              </w:rPr>
            </w:pPr>
          </w:p>
        </w:tc>
        <w:tc>
          <w:tcPr>
            <w:tcW w:w="1655"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0659D9" w:rsidRDefault="000659D9">
            <w:pPr>
              <w:spacing w:after="0"/>
              <w:rPr>
                <w:sz w:val="20"/>
                <w:szCs w:val="20"/>
              </w:rPr>
            </w:pPr>
          </w:p>
        </w:tc>
        <w:tc>
          <w:tcPr>
            <w:tcW w:w="169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0659D9" w:rsidRDefault="000659D9">
            <w:pPr>
              <w:spacing w:after="0"/>
              <w:rPr>
                <w:sz w:val="20"/>
                <w:szCs w:val="20"/>
              </w:rPr>
            </w:pPr>
          </w:p>
        </w:tc>
      </w:tr>
      <w:tr w:rsidR="000659D9">
        <w:tc>
          <w:tcPr>
            <w:tcW w:w="235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0659D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BALANCE OF EFFECTS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000000"/>
                <w:sz w:val="16"/>
                <w:szCs w:val="16"/>
              </w:rPr>
            </w:pPr>
            <w:proofErr w:type="spellStart"/>
            <w:r>
              <w:rPr>
                <w:color w:val="000000"/>
                <w:sz w:val="16"/>
                <w:szCs w:val="16"/>
              </w:rPr>
              <w:t>Favors</w:t>
            </w:r>
            <w:proofErr w:type="spellEnd"/>
            <w:r>
              <w:rPr>
                <w:color w:val="000000"/>
                <w:sz w:val="16"/>
                <w:szCs w:val="16"/>
              </w:rPr>
              <w:t xml:space="preserve"> the comparison</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 xml:space="preserve">Probably </w:t>
            </w:r>
            <w:proofErr w:type="spellStart"/>
            <w:r>
              <w:rPr>
                <w:color w:val="000000"/>
                <w:sz w:val="16"/>
                <w:szCs w:val="16"/>
              </w:rPr>
              <w:t>favors</w:t>
            </w:r>
            <w:proofErr w:type="spellEnd"/>
            <w:r>
              <w:rPr>
                <w:color w:val="000000"/>
                <w:sz w:val="16"/>
                <w:szCs w:val="16"/>
              </w:rPr>
              <w:t xml:space="preserve"> the comparison</w:t>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 xml:space="preserve">Does not </w:t>
            </w:r>
            <w:proofErr w:type="spellStart"/>
            <w:r>
              <w:rPr>
                <w:color w:val="000000"/>
                <w:sz w:val="16"/>
                <w:szCs w:val="16"/>
              </w:rPr>
              <w:t>favor</w:t>
            </w:r>
            <w:proofErr w:type="spellEnd"/>
            <w:r>
              <w:rPr>
                <w:color w:val="000000"/>
                <w:sz w:val="16"/>
                <w:szCs w:val="16"/>
              </w:rPr>
              <w:t xml:space="preserve"> either the intervention or the comparison</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b/>
                <w:color w:val="000000"/>
                <w:sz w:val="16"/>
                <w:szCs w:val="16"/>
              </w:rPr>
            </w:pPr>
            <w:r>
              <w:rPr>
                <w:b/>
                <w:color w:val="000000"/>
                <w:sz w:val="16"/>
                <w:szCs w:val="16"/>
              </w:rPr>
              <w:t xml:space="preserve">Probably </w:t>
            </w:r>
            <w:proofErr w:type="spellStart"/>
            <w:r>
              <w:rPr>
                <w:b/>
                <w:color w:val="000000"/>
                <w:sz w:val="16"/>
                <w:szCs w:val="16"/>
              </w:rPr>
              <w:t>favors</w:t>
            </w:r>
            <w:proofErr w:type="spellEnd"/>
            <w:r>
              <w:rPr>
                <w:b/>
                <w:color w:val="000000"/>
                <w:sz w:val="16"/>
                <w:szCs w:val="16"/>
              </w:rPr>
              <w:t xml:space="preserve"> the intervention</w:t>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000000"/>
                <w:sz w:val="16"/>
                <w:szCs w:val="16"/>
              </w:rPr>
            </w:pPr>
            <w:proofErr w:type="spellStart"/>
            <w:r>
              <w:rPr>
                <w:color w:val="000000"/>
                <w:sz w:val="16"/>
                <w:szCs w:val="16"/>
              </w:rPr>
              <w:t>Favors</w:t>
            </w:r>
            <w:proofErr w:type="spellEnd"/>
            <w:r>
              <w:rPr>
                <w:color w:val="000000"/>
                <w:sz w:val="16"/>
                <w:szCs w:val="16"/>
              </w:rPr>
              <w:t xml:space="preserve"> the intervention</w:t>
            </w:r>
          </w:p>
        </w:tc>
        <w:tc>
          <w:tcPr>
            <w:tcW w:w="1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Varies</w:t>
            </w:r>
          </w:p>
        </w:tc>
        <w:tc>
          <w:tcPr>
            <w:tcW w:w="1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Don't know</w:t>
            </w:r>
          </w:p>
        </w:tc>
      </w:tr>
      <w:tr w:rsidR="000659D9">
        <w:tc>
          <w:tcPr>
            <w:tcW w:w="235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0659D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RESOURCES REQUIRED</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costs</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b/>
                <w:color w:val="AEAAAA"/>
                <w:sz w:val="16"/>
                <w:szCs w:val="16"/>
              </w:rPr>
            </w:pPr>
            <w:r>
              <w:rPr>
                <w:b/>
                <w:color w:val="AEAAAA"/>
                <w:sz w:val="16"/>
                <w:szCs w:val="16"/>
              </w:rPr>
              <w:t>Moderate costs</w:t>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BFBFBF"/>
                <w:sz w:val="16"/>
                <w:szCs w:val="16"/>
              </w:rPr>
              <w:t>Negligible costs and savings</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savings</w:t>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savings</w:t>
            </w:r>
          </w:p>
        </w:tc>
        <w:tc>
          <w:tcPr>
            <w:tcW w:w="1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Don't know</w:t>
            </w:r>
          </w:p>
        </w:tc>
      </w:tr>
      <w:tr w:rsidR="000659D9">
        <w:tc>
          <w:tcPr>
            <w:tcW w:w="235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0659D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 OF REQUIRED RESOURCES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Very low</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Low</w:t>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3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0659D9" w:rsidRDefault="000659D9">
            <w:pPr>
              <w:rPr>
                <w:color w:val="AEAAAA"/>
                <w:sz w:val="16"/>
                <w:szCs w:val="16"/>
              </w:rPr>
            </w:pPr>
          </w:p>
        </w:tc>
        <w:tc>
          <w:tcPr>
            <w:tcW w:w="1655"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0659D9" w:rsidRDefault="000659D9">
            <w:pPr>
              <w:spacing w:after="0"/>
              <w:rPr>
                <w:sz w:val="20"/>
                <w:szCs w:val="20"/>
              </w:rPr>
            </w:pPr>
          </w:p>
        </w:tc>
        <w:tc>
          <w:tcPr>
            <w:tcW w:w="1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0659D9">
        <w:tc>
          <w:tcPr>
            <w:tcW w:w="235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0659D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COST EFFECTIVENESS</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proofErr w:type="spellStart"/>
            <w:r>
              <w:rPr>
                <w:color w:val="AEAAAA"/>
                <w:sz w:val="16"/>
                <w:szCs w:val="16"/>
              </w:rPr>
              <w:t>Favors</w:t>
            </w:r>
            <w:proofErr w:type="spellEnd"/>
            <w:r>
              <w:rPr>
                <w:color w:val="AEAAAA"/>
                <w:sz w:val="16"/>
                <w:szCs w:val="16"/>
              </w:rPr>
              <w:t xml:space="preserve"> the comparison</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 xml:space="preserve">Probably </w:t>
            </w:r>
            <w:proofErr w:type="spellStart"/>
            <w:r>
              <w:rPr>
                <w:color w:val="AEAAAA"/>
                <w:sz w:val="16"/>
                <w:szCs w:val="16"/>
              </w:rPr>
              <w:t>favors</w:t>
            </w:r>
            <w:proofErr w:type="spellEnd"/>
            <w:r>
              <w:rPr>
                <w:color w:val="AEAAAA"/>
                <w:sz w:val="16"/>
                <w:szCs w:val="16"/>
              </w:rPr>
              <w:t xml:space="preserve"> the comparison</w:t>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 xml:space="preserve">Does not </w:t>
            </w:r>
            <w:proofErr w:type="spellStart"/>
            <w:r>
              <w:rPr>
                <w:color w:val="AEAAAA"/>
                <w:sz w:val="16"/>
                <w:szCs w:val="16"/>
              </w:rPr>
              <w:t>favor</w:t>
            </w:r>
            <w:proofErr w:type="spellEnd"/>
            <w:r>
              <w:rPr>
                <w:color w:val="AEAAAA"/>
                <w:sz w:val="16"/>
                <w:szCs w:val="16"/>
              </w:rPr>
              <w:t xml:space="preserve"> either the intervention or the comparison</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 xml:space="preserve">Probably </w:t>
            </w:r>
            <w:proofErr w:type="spellStart"/>
            <w:r>
              <w:rPr>
                <w:color w:val="AEAAAA"/>
                <w:sz w:val="16"/>
                <w:szCs w:val="16"/>
              </w:rPr>
              <w:t>favors</w:t>
            </w:r>
            <w:proofErr w:type="spellEnd"/>
            <w:r>
              <w:rPr>
                <w:color w:val="AEAAAA"/>
                <w:sz w:val="16"/>
                <w:szCs w:val="16"/>
              </w:rPr>
              <w:t xml:space="preserve"> the intervention</w:t>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proofErr w:type="spellStart"/>
            <w:r>
              <w:rPr>
                <w:color w:val="AEAAAA"/>
                <w:sz w:val="16"/>
                <w:szCs w:val="16"/>
              </w:rPr>
              <w:t>Favors</w:t>
            </w:r>
            <w:proofErr w:type="spellEnd"/>
            <w:r>
              <w:rPr>
                <w:color w:val="AEAAAA"/>
                <w:sz w:val="16"/>
                <w:szCs w:val="16"/>
              </w:rPr>
              <w:t xml:space="preserve"> the intervention</w:t>
            </w:r>
          </w:p>
        </w:tc>
        <w:tc>
          <w:tcPr>
            <w:tcW w:w="1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0659D9">
        <w:tc>
          <w:tcPr>
            <w:tcW w:w="235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0659D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EQUITY</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Reduced</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Probably reduced</w:t>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BFBFBF"/>
                <w:sz w:val="16"/>
                <w:szCs w:val="16"/>
              </w:rPr>
            </w:pPr>
            <w:r>
              <w:rPr>
                <w:color w:val="BFBFBF"/>
                <w:sz w:val="16"/>
                <w:szCs w:val="16"/>
              </w:rPr>
              <w:t>Probably no impact</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increased</w:t>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Increased</w:t>
            </w:r>
          </w:p>
        </w:tc>
        <w:tc>
          <w:tcPr>
            <w:tcW w:w="1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b/>
                <w:color w:val="000000"/>
                <w:sz w:val="16"/>
                <w:szCs w:val="16"/>
              </w:rPr>
            </w:pPr>
            <w:r>
              <w:rPr>
                <w:b/>
                <w:color w:val="D9D9D9"/>
                <w:sz w:val="16"/>
                <w:szCs w:val="16"/>
              </w:rPr>
              <w:t>Don't know</w:t>
            </w:r>
          </w:p>
        </w:tc>
      </w:tr>
      <w:tr w:rsidR="000659D9">
        <w:tc>
          <w:tcPr>
            <w:tcW w:w="235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0659D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ACCEPTABILITY</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yes</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3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0659D9" w:rsidRDefault="000659D9">
            <w:pPr>
              <w:rPr>
                <w:color w:val="AEAAAA"/>
                <w:sz w:val="16"/>
                <w:szCs w:val="16"/>
              </w:rPr>
            </w:pPr>
          </w:p>
        </w:tc>
        <w:tc>
          <w:tcPr>
            <w:tcW w:w="1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0659D9">
        <w:tc>
          <w:tcPr>
            <w:tcW w:w="235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0659D9"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FEASIBILITY</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yes</w:t>
            </w:r>
          </w:p>
        </w:tc>
        <w:tc>
          <w:tcPr>
            <w:tcW w:w="17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3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0659D9" w:rsidRDefault="000659D9">
            <w:pPr>
              <w:rPr>
                <w:color w:val="AEAAAA"/>
                <w:sz w:val="16"/>
                <w:szCs w:val="16"/>
              </w:rPr>
            </w:pPr>
          </w:p>
        </w:tc>
        <w:tc>
          <w:tcPr>
            <w:tcW w:w="1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659D9"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bl>
    <w:p w:rsidR="000659D9"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TYPE OF RECOMMENDATION</w:t>
      </w:r>
    </w:p>
    <w:tbl>
      <w:tblPr>
        <w:tblStyle w:val="a2"/>
        <w:tblW w:w="14384"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400" w:firstRow="0" w:lastRow="0" w:firstColumn="0" w:lastColumn="0" w:noHBand="0" w:noVBand="1"/>
      </w:tblPr>
      <w:tblGrid>
        <w:gridCol w:w="2876"/>
        <w:gridCol w:w="2877"/>
        <w:gridCol w:w="2877"/>
        <w:gridCol w:w="2877"/>
        <w:gridCol w:w="2877"/>
      </w:tblGrid>
      <w:tr w:rsidR="000659D9">
        <w:tc>
          <w:tcPr>
            <w:tcW w:w="2876" w:type="dxa"/>
            <w:tcMar>
              <w:top w:w="75" w:type="dxa"/>
              <w:left w:w="0" w:type="dxa"/>
              <w:bottom w:w="0" w:type="dxa"/>
              <w:right w:w="0" w:type="dxa"/>
            </w:tcMar>
          </w:tcPr>
          <w:p w:rsidR="000659D9"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against the intervention</w:t>
            </w:r>
          </w:p>
        </w:tc>
        <w:tc>
          <w:tcPr>
            <w:tcW w:w="2877" w:type="dxa"/>
            <w:tcBorders>
              <w:top w:val="single" w:sz="6" w:space="0" w:color="000000"/>
              <w:bottom w:val="nil"/>
            </w:tcBorders>
            <w:shd w:val="clear" w:color="auto" w:fill="auto"/>
            <w:tcMar>
              <w:top w:w="75" w:type="dxa"/>
              <w:left w:w="0" w:type="dxa"/>
              <w:bottom w:w="0" w:type="dxa"/>
              <w:right w:w="0" w:type="dxa"/>
            </w:tcMar>
          </w:tcPr>
          <w:p w:rsidR="000659D9" w:rsidRDefault="00000000">
            <w:pPr>
              <w:pBdr>
                <w:top w:val="nil"/>
                <w:left w:val="nil"/>
                <w:bottom w:val="nil"/>
                <w:right w:val="nil"/>
                <w:between w:val="nil"/>
              </w:pBdr>
              <w:spacing w:after="0" w:line="240" w:lineRule="auto"/>
              <w:jc w:val="center"/>
              <w:rPr>
                <w:color w:val="FFFFFF"/>
                <w:sz w:val="16"/>
                <w:szCs w:val="16"/>
              </w:rPr>
            </w:pPr>
            <w:r>
              <w:rPr>
                <w:color w:val="000000"/>
                <w:sz w:val="16"/>
                <w:szCs w:val="16"/>
              </w:rPr>
              <w:t>Conditional recommendation against the intervention</w:t>
            </w:r>
          </w:p>
        </w:tc>
        <w:tc>
          <w:tcPr>
            <w:tcW w:w="2877" w:type="dxa"/>
            <w:tcMar>
              <w:top w:w="75" w:type="dxa"/>
              <w:left w:w="0" w:type="dxa"/>
              <w:bottom w:w="0" w:type="dxa"/>
              <w:right w:w="0" w:type="dxa"/>
            </w:tcMar>
          </w:tcPr>
          <w:p w:rsidR="000659D9"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either the intervention or the comparison</w:t>
            </w:r>
          </w:p>
        </w:tc>
        <w:tc>
          <w:tcPr>
            <w:tcW w:w="2877" w:type="dxa"/>
            <w:tcBorders>
              <w:bottom w:val="nil"/>
            </w:tcBorders>
            <w:shd w:val="clear" w:color="auto" w:fill="auto"/>
            <w:tcMar>
              <w:top w:w="75" w:type="dxa"/>
              <w:left w:w="0" w:type="dxa"/>
              <w:bottom w:w="0" w:type="dxa"/>
              <w:right w:w="0" w:type="dxa"/>
            </w:tcMar>
          </w:tcPr>
          <w:p w:rsidR="000659D9"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the intervention</w:t>
            </w:r>
          </w:p>
        </w:tc>
        <w:tc>
          <w:tcPr>
            <w:tcW w:w="2877" w:type="dxa"/>
            <w:tcMar>
              <w:top w:w="75" w:type="dxa"/>
              <w:left w:w="0" w:type="dxa"/>
              <w:bottom w:w="0" w:type="dxa"/>
              <w:right w:w="0" w:type="dxa"/>
            </w:tcMar>
          </w:tcPr>
          <w:p w:rsidR="000659D9"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for the intervention</w:t>
            </w:r>
          </w:p>
        </w:tc>
      </w:tr>
      <w:tr w:rsidR="000659D9">
        <w:trPr>
          <w:trHeight w:val="146"/>
        </w:trPr>
        <w:tc>
          <w:tcPr>
            <w:tcW w:w="2876" w:type="dxa"/>
            <w:tcMar>
              <w:top w:w="0" w:type="dxa"/>
              <w:left w:w="0" w:type="dxa"/>
              <w:bottom w:w="75" w:type="dxa"/>
              <w:right w:w="0" w:type="dxa"/>
            </w:tcMar>
          </w:tcPr>
          <w:p w:rsidR="000659D9"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Borders>
              <w:top w:val="nil"/>
              <w:bottom w:val="single" w:sz="6" w:space="0" w:color="000000"/>
            </w:tcBorders>
            <w:shd w:val="clear" w:color="auto" w:fill="auto"/>
            <w:tcMar>
              <w:top w:w="0" w:type="dxa"/>
              <w:left w:w="0" w:type="dxa"/>
              <w:bottom w:w="75" w:type="dxa"/>
              <w:right w:w="0" w:type="dxa"/>
            </w:tcMar>
          </w:tcPr>
          <w:p w:rsidR="000659D9"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FFFFFF"/>
                <w:sz w:val="16"/>
                <w:szCs w:val="16"/>
              </w:rPr>
            </w:pPr>
            <w:r>
              <w:rPr>
                <w:rFonts w:ascii="Times New Roman" w:eastAsia="Times New Roman" w:hAnsi="Times New Roman" w:cs="Times New Roman"/>
                <w:color w:val="000000"/>
                <w:sz w:val="24"/>
                <w:szCs w:val="24"/>
              </w:rPr>
              <w:t xml:space="preserve">○ </w:t>
            </w:r>
          </w:p>
        </w:tc>
        <w:tc>
          <w:tcPr>
            <w:tcW w:w="2877" w:type="dxa"/>
            <w:tcMar>
              <w:top w:w="0" w:type="dxa"/>
              <w:left w:w="0" w:type="dxa"/>
              <w:bottom w:w="75" w:type="dxa"/>
              <w:right w:w="0" w:type="dxa"/>
            </w:tcMar>
          </w:tcPr>
          <w:p w:rsidR="000659D9"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77" w:type="dxa"/>
            <w:tcBorders>
              <w:top w:val="nil"/>
              <w:bottom w:val="single" w:sz="6" w:space="0" w:color="000000"/>
            </w:tcBorders>
            <w:shd w:val="clear" w:color="auto" w:fill="auto"/>
            <w:tcMar>
              <w:top w:w="0" w:type="dxa"/>
              <w:left w:w="0" w:type="dxa"/>
              <w:bottom w:w="75" w:type="dxa"/>
              <w:right w:w="0" w:type="dxa"/>
            </w:tcMar>
          </w:tcPr>
          <w:p w:rsidR="000659D9"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Mar>
              <w:top w:w="0" w:type="dxa"/>
              <w:left w:w="0" w:type="dxa"/>
              <w:bottom w:w="75" w:type="dxa"/>
              <w:right w:w="0" w:type="dxa"/>
            </w:tcMar>
          </w:tcPr>
          <w:p w:rsidR="000659D9"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bl>
    <w:p w:rsidR="000659D9" w:rsidRDefault="000659D9">
      <w:pPr>
        <w:rPr>
          <w:color w:val="000000"/>
          <w:sz w:val="16"/>
          <w:szCs w:val="16"/>
        </w:rPr>
      </w:pPr>
    </w:p>
    <w:p w:rsidR="000659D9" w:rsidRDefault="000659D9">
      <w:pPr>
        <w:rPr>
          <w:b/>
          <w:smallCaps/>
          <w:color w:val="000000"/>
          <w:sz w:val="30"/>
          <w:szCs w:val="30"/>
        </w:rPr>
      </w:pPr>
    </w:p>
    <w:p w:rsidR="000659D9"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CONCLUSIONS</w:t>
      </w:r>
    </w:p>
    <w:tbl>
      <w:tblPr>
        <w:tblStyle w:val="a3"/>
        <w:tblW w:w="14400" w:type="dxa"/>
        <w:tblLayout w:type="fixed"/>
        <w:tblLook w:val="0400" w:firstRow="0" w:lastRow="0" w:firstColumn="0" w:lastColumn="0" w:noHBand="0" w:noVBand="1"/>
      </w:tblPr>
      <w:tblGrid>
        <w:gridCol w:w="14400"/>
      </w:tblGrid>
      <w:tr w:rsidR="000659D9">
        <w:tc>
          <w:tcPr>
            <w:tcW w:w="14400" w:type="dxa"/>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Recommendation</w:t>
            </w:r>
          </w:p>
        </w:tc>
      </w:tr>
      <w:tr w:rsidR="000659D9">
        <w:trPr>
          <w:trHeight w:val="640"/>
        </w:trPr>
        <w:tc>
          <w:tcPr>
            <w:tcW w:w="14400" w:type="dxa"/>
            <w:tcMar>
              <w:top w:w="75" w:type="dxa"/>
              <w:left w:w="75" w:type="dxa"/>
              <w:bottom w:w="75" w:type="dxa"/>
              <w:right w:w="75" w:type="dxa"/>
            </w:tcMar>
          </w:tcPr>
          <w:p w:rsidR="000659D9" w:rsidRDefault="00000000">
            <w:pPr>
              <w:rPr>
                <w:b/>
                <w:sz w:val="20"/>
                <w:szCs w:val="20"/>
              </w:rPr>
            </w:pPr>
            <w:r>
              <w:rPr>
                <w:b/>
                <w:sz w:val="20"/>
                <w:szCs w:val="20"/>
              </w:rPr>
              <w:t xml:space="preserve">We suggest using the absence of diffusion restriction on cortical MRI between 72h and 7 days after ROSC, in combination with other tests, for predicting good neurological outcome of adults who are comatose after cardiac arrest (weak recommendation, very-low-certainty evidence). </w:t>
            </w:r>
          </w:p>
          <w:p w:rsidR="000659D9" w:rsidRDefault="00000000">
            <w:pPr>
              <w:rPr>
                <w:b/>
                <w:sz w:val="20"/>
                <w:szCs w:val="20"/>
              </w:rPr>
            </w:pPr>
            <w:r>
              <w:rPr>
                <w:b/>
                <w:sz w:val="20"/>
                <w:szCs w:val="20"/>
              </w:rPr>
              <w:t>We suggest against using ADC on brain MRI to predict good neurological outcome in patients who are comatose after cardiac arrest (weak recommendation, very-low certainty of evidence).</w:t>
            </w:r>
          </w:p>
        </w:tc>
      </w:tr>
      <w:tr w:rsidR="000659D9">
        <w:tc>
          <w:tcPr>
            <w:tcW w:w="14400" w:type="dxa"/>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Justification</w:t>
            </w:r>
          </w:p>
        </w:tc>
      </w:tr>
      <w:tr w:rsidR="000659D9">
        <w:trPr>
          <w:trHeight w:val="742"/>
        </w:trPr>
        <w:tc>
          <w:tcPr>
            <w:tcW w:w="14400" w:type="dxa"/>
            <w:tcMar>
              <w:top w:w="75" w:type="dxa"/>
              <w:left w:w="75" w:type="dxa"/>
              <w:bottom w:w="75" w:type="dxa"/>
              <w:right w:w="75" w:type="dxa"/>
            </w:tcMar>
          </w:tcPr>
          <w:p w:rsidR="000659D9" w:rsidRDefault="00000000">
            <w:pPr>
              <w:spacing w:after="0" w:line="240" w:lineRule="auto"/>
              <w:jc w:val="both"/>
              <w:rPr>
                <w:sz w:val="20"/>
                <w:szCs w:val="20"/>
              </w:rPr>
            </w:pPr>
            <w:r>
              <w:rPr>
                <w:sz w:val="20"/>
                <w:szCs w:val="20"/>
              </w:rPr>
              <w:t xml:space="preserve">Evidence from five studies consistently suggests that the absence of visible cytotoxic oedema, assessed as the absence of cortical DWI changes on brain MRI, predicts good neurological outcome with high specificity at 72h or later after cardiac arrest.  </w:t>
            </w:r>
          </w:p>
          <w:p w:rsidR="000659D9" w:rsidRDefault="00000000">
            <w:pPr>
              <w:jc w:val="both"/>
              <w:rPr>
                <w:sz w:val="20"/>
                <w:szCs w:val="20"/>
              </w:rPr>
            </w:pPr>
            <w:r>
              <w:rPr>
                <w:sz w:val="20"/>
                <w:szCs w:val="20"/>
              </w:rPr>
              <w:t xml:space="preserve">Apparent diffusion coefficient (ADC) allows quantifying diffusion changes on brain MRI. However, the evidence is limited to one study, and no ADC threshold for prediction of good neurological outcome has been established. </w:t>
            </w:r>
          </w:p>
        </w:tc>
      </w:tr>
    </w:tbl>
    <w:p w:rsidR="000659D9" w:rsidRDefault="000659D9">
      <w:pPr>
        <w:widowControl w:val="0"/>
        <w:pBdr>
          <w:top w:val="nil"/>
          <w:left w:val="nil"/>
          <w:bottom w:val="nil"/>
          <w:right w:val="nil"/>
          <w:between w:val="nil"/>
        </w:pBdr>
        <w:spacing w:after="0" w:line="276" w:lineRule="auto"/>
        <w:rPr>
          <w:sz w:val="20"/>
          <w:szCs w:val="20"/>
        </w:rPr>
      </w:pPr>
    </w:p>
    <w:tbl>
      <w:tblPr>
        <w:tblStyle w:val="a4"/>
        <w:tblW w:w="14400" w:type="dxa"/>
        <w:tblLayout w:type="fixed"/>
        <w:tblLook w:val="0400" w:firstRow="0" w:lastRow="0" w:firstColumn="0" w:lastColumn="0" w:noHBand="0" w:noVBand="1"/>
      </w:tblPr>
      <w:tblGrid>
        <w:gridCol w:w="14400"/>
      </w:tblGrid>
      <w:tr w:rsidR="000659D9">
        <w:tc>
          <w:tcPr>
            <w:tcW w:w="14400" w:type="dxa"/>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Subgroup considerations</w:t>
            </w:r>
          </w:p>
        </w:tc>
      </w:tr>
      <w:tr w:rsidR="000659D9">
        <w:trPr>
          <w:trHeight w:val="507"/>
        </w:trPr>
        <w:tc>
          <w:tcPr>
            <w:tcW w:w="14400" w:type="dxa"/>
            <w:tcMar>
              <w:top w:w="75" w:type="dxa"/>
              <w:left w:w="75" w:type="dxa"/>
              <w:bottom w:w="75" w:type="dxa"/>
              <w:right w:w="75" w:type="dxa"/>
            </w:tcMar>
          </w:tcPr>
          <w:p w:rsidR="000659D9" w:rsidRDefault="00000000">
            <w:pPr>
              <w:rPr>
                <w:sz w:val="20"/>
                <w:szCs w:val="20"/>
              </w:rPr>
            </w:pPr>
            <w:r>
              <w:rPr>
                <w:sz w:val="20"/>
                <w:szCs w:val="20"/>
              </w:rPr>
              <w:t>None</w:t>
            </w:r>
          </w:p>
        </w:tc>
      </w:tr>
      <w:tr w:rsidR="000659D9">
        <w:tc>
          <w:tcPr>
            <w:tcW w:w="14400" w:type="dxa"/>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Implementation considerations</w:t>
            </w:r>
          </w:p>
        </w:tc>
      </w:tr>
    </w:tbl>
    <w:p w:rsidR="000659D9" w:rsidRDefault="000659D9"/>
    <w:tbl>
      <w:tblPr>
        <w:tblStyle w:val="a5"/>
        <w:tblW w:w="14400" w:type="dxa"/>
        <w:tblLayout w:type="fixed"/>
        <w:tblLook w:val="0400" w:firstRow="0" w:lastRow="0" w:firstColumn="0" w:lastColumn="0" w:noHBand="0" w:noVBand="1"/>
      </w:tblPr>
      <w:tblGrid>
        <w:gridCol w:w="14400"/>
      </w:tblGrid>
      <w:tr w:rsidR="000659D9">
        <w:tc>
          <w:tcPr>
            <w:tcW w:w="14400" w:type="dxa"/>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Monitoring and evaluation</w:t>
            </w:r>
          </w:p>
        </w:tc>
      </w:tr>
      <w:tr w:rsidR="000659D9">
        <w:trPr>
          <w:trHeight w:val="1080"/>
        </w:trPr>
        <w:tc>
          <w:tcPr>
            <w:tcW w:w="14400" w:type="dxa"/>
            <w:tcMar>
              <w:top w:w="75" w:type="dxa"/>
              <w:left w:w="75" w:type="dxa"/>
              <w:bottom w:w="75" w:type="dxa"/>
              <w:right w:w="75" w:type="dxa"/>
            </w:tcMar>
          </w:tcPr>
          <w:p w:rsidR="000659D9" w:rsidRDefault="000659D9">
            <w:pPr>
              <w:widowControl w:val="0"/>
              <w:pBdr>
                <w:top w:val="nil"/>
                <w:left w:val="nil"/>
                <w:bottom w:val="nil"/>
                <w:right w:val="nil"/>
                <w:between w:val="nil"/>
              </w:pBdr>
              <w:spacing w:after="0" w:line="276" w:lineRule="auto"/>
              <w:rPr>
                <w:color w:val="FFFFFF"/>
                <w:sz w:val="26"/>
                <w:szCs w:val="26"/>
              </w:rPr>
            </w:pPr>
          </w:p>
          <w:tbl>
            <w:tblPr>
              <w:tblStyle w:val="a6"/>
              <w:tblW w:w="14550" w:type="dxa"/>
              <w:tblLayout w:type="fixed"/>
              <w:tblLook w:val="0400" w:firstRow="0" w:lastRow="0" w:firstColumn="0" w:lastColumn="0" w:noHBand="0" w:noVBand="1"/>
            </w:tblPr>
            <w:tblGrid>
              <w:gridCol w:w="14550"/>
            </w:tblGrid>
            <w:tr w:rsidR="000659D9">
              <w:tc>
                <w:tcPr>
                  <w:tcW w:w="14550" w:type="dxa"/>
                  <w:shd w:val="clear" w:color="auto" w:fill="2E74B5"/>
                  <w:tcMar>
                    <w:top w:w="75" w:type="dxa"/>
                    <w:left w:w="75" w:type="dxa"/>
                    <w:bottom w:w="75" w:type="dxa"/>
                    <w:right w:w="75" w:type="dxa"/>
                  </w:tcMar>
                </w:tcPr>
                <w:p w:rsidR="000659D9"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Research priorities</w:t>
                  </w:r>
                </w:p>
              </w:tc>
            </w:tr>
            <w:tr w:rsidR="000659D9">
              <w:trPr>
                <w:trHeight w:val="1080"/>
              </w:trPr>
              <w:tc>
                <w:tcPr>
                  <w:tcW w:w="14550" w:type="dxa"/>
                  <w:tcMar>
                    <w:top w:w="75" w:type="dxa"/>
                    <w:left w:w="75" w:type="dxa"/>
                    <w:bottom w:w="75" w:type="dxa"/>
                    <w:right w:w="75" w:type="dxa"/>
                  </w:tcMar>
                </w:tcPr>
                <w:p w:rsidR="000659D9" w:rsidRDefault="00000000">
                  <w:pPr>
                    <w:pBdr>
                      <w:top w:val="nil"/>
                      <w:left w:val="nil"/>
                      <w:bottom w:val="nil"/>
                      <w:right w:val="nil"/>
                      <w:between w:val="nil"/>
                    </w:pBdr>
                    <w:spacing w:line="240" w:lineRule="auto"/>
                    <w:rPr>
                      <w:color w:val="000000"/>
                      <w:sz w:val="20"/>
                      <w:szCs w:val="20"/>
                    </w:rPr>
                  </w:pPr>
                  <w:r>
                    <w:rPr>
                      <w:color w:val="000000"/>
                      <w:sz w:val="20"/>
                      <w:szCs w:val="20"/>
                    </w:rPr>
                    <w:t>The criteria for defining a normal MRI after cardiac arrest must be standardized.</w:t>
                  </w:r>
                </w:p>
                <w:p w:rsidR="000659D9" w:rsidRDefault="00000000">
                  <w:pPr>
                    <w:pBdr>
                      <w:top w:val="nil"/>
                      <w:left w:val="nil"/>
                      <w:bottom w:val="nil"/>
                      <w:right w:val="nil"/>
                      <w:between w:val="nil"/>
                    </w:pBdr>
                    <w:spacing w:line="240" w:lineRule="auto"/>
                    <w:rPr>
                      <w:color w:val="000000"/>
                      <w:sz w:val="20"/>
                      <w:szCs w:val="20"/>
                    </w:rPr>
                  </w:pPr>
                  <w:bookmarkStart w:id="6" w:name="_heading=h.3dy6vkm" w:colFirst="0" w:colLast="0"/>
                  <w:bookmarkEnd w:id="6"/>
                  <w:r>
                    <w:rPr>
                      <w:color w:val="000000"/>
                      <w:sz w:val="20"/>
                      <w:szCs w:val="20"/>
                    </w:rPr>
                    <w:t xml:space="preserve">The spatial distribution of DWI MRI changes due to HIBI varies widely. The best area of the brain to be assessed for predicting good outcome after cardiac arrest is currently unknown. </w:t>
                  </w:r>
                </w:p>
              </w:tc>
            </w:tr>
            <w:tr w:rsidR="000659D9">
              <w:trPr>
                <w:trHeight w:val="1080"/>
              </w:trPr>
              <w:tc>
                <w:tcPr>
                  <w:tcW w:w="14550" w:type="dxa"/>
                  <w:tcMar>
                    <w:top w:w="75" w:type="dxa"/>
                    <w:left w:w="75" w:type="dxa"/>
                    <w:bottom w:w="75" w:type="dxa"/>
                    <w:right w:w="75" w:type="dxa"/>
                  </w:tcMar>
                </w:tcPr>
                <w:p w:rsidR="000659D9" w:rsidRDefault="000659D9">
                  <w:pPr>
                    <w:pBdr>
                      <w:top w:val="nil"/>
                      <w:left w:val="nil"/>
                      <w:bottom w:val="nil"/>
                      <w:right w:val="nil"/>
                      <w:between w:val="nil"/>
                    </w:pBdr>
                    <w:spacing w:line="240" w:lineRule="auto"/>
                    <w:rPr>
                      <w:color w:val="000000"/>
                      <w:sz w:val="20"/>
                      <w:szCs w:val="20"/>
                    </w:rPr>
                  </w:pPr>
                </w:p>
              </w:tc>
            </w:tr>
          </w:tbl>
          <w:p w:rsidR="000659D9" w:rsidRDefault="000659D9">
            <w:pPr>
              <w:rPr>
                <w:sz w:val="16"/>
                <w:szCs w:val="16"/>
              </w:rPr>
            </w:pPr>
          </w:p>
        </w:tc>
      </w:tr>
    </w:tbl>
    <w:p w:rsidR="000659D9" w:rsidRDefault="000659D9"/>
    <w:sectPr w:rsidR="000659D9">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D9"/>
    <w:rsid w:val="000659D9"/>
    <w:rsid w:val="00D2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625C06B-4957-824E-B941-D6D28D58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Revision">
    <w:name w:val="Revision"/>
    <w:hidden/>
    <w:uiPriority w:val="99"/>
    <w:semiHidden/>
    <w:rsid w:val="00A04921"/>
    <w:pPr>
      <w:spacing w:after="0" w:line="240" w:lineRule="auto"/>
    </w:pPr>
  </w:style>
  <w:style w:type="paragraph" w:styleId="ListParagraph">
    <w:name w:val="List Paragraph"/>
    <w:basedOn w:val="Normal"/>
    <w:uiPriority w:val="34"/>
    <w:qFormat/>
    <w:rsid w:val="00A02CF4"/>
    <w:pPr>
      <w:spacing w:after="0" w:line="240" w:lineRule="auto"/>
      <w:ind w:left="720"/>
      <w:contextualSpacing/>
    </w:pPr>
    <w:rPr>
      <w:rFonts w:ascii="Cambria" w:eastAsia="Cambria" w:hAnsi="Cambria" w:cs="Cambria"/>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CBYHhxAaPgK9hOla7C2zzf0Ww==">AMUW2mX5huUog9KS+dhegBke7rtPqoNlpyHDZWm9X/hvGafVZdQt9cNi64lnTjzyfR5xq29xkmhufQJyUOZcjGhCB09pH5R+fHEMU1VmY9SboqOPrTZCU/E/zh6wx0Q6iJdW5kIZ7L85wMv/5Co+ZtnT+yroMyg4dv3y/xozpOj6fpwI7vwb3eJlc+7vKuhh0s/zgq1MlASn3itKvAKxxpYdWp0yHObxRg==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2290</Words>
  <Characters>13058</Characters>
  <Application>Microsoft Office Word</Application>
  <DocSecurity>0</DocSecurity>
  <Lines>108</Lines>
  <Paragraphs>30</Paragraphs>
  <ScaleCrop>false</ScaleCrop>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Berg,Katherine  (HMFP - Medicine)</cp:lastModifiedBy>
  <cp:revision>2</cp:revision>
  <dcterms:created xsi:type="dcterms:W3CDTF">2022-12-14T15:00:00Z</dcterms:created>
  <dcterms:modified xsi:type="dcterms:W3CDTF">2022-12-14T15:00:00Z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73f649de393f615dc791720861bb34115c8b7616e2229969ce2550518bb39034</vt:lpwstr>
  </property>
</Properties>
</file>