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439" w:rsidRDefault="00F1043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1718"/>
        <w:gridCol w:w="12682"/>
      </w:tblGrid>
      <w:tr w:rsidR="00F10439">
        <w:tc>
          <w:tcPr>
            <w:tcW w:w="14400" w:type="dxa"/>
            <w:gridSpan w:val="2"/>
            <w:tcBorders>
              <w:bottom w:val="single" w:sz="6" w:space="0" w:color="2E74B5"/>
            </w:tcBorders>
            <w:tcMar>
              <w:top w:w="0" w:type="dxa"/>
              <w:left w:w="0" w:type="dxa"/>
              <w:bottom w:w="0" w:type="dxa"/>
              <w:right w:w="0" w:type="dxa"/>
            </w:tcMar>
          </w:tcPr>
          <w:p w:rsidR="00F10439"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F10439">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color w:val="FFFFFF"/>
                <w:sz w:val="28"/>
                <w:szCs w:val="28"/>
              </w:rPr>
            </w:pPr>
            <w:r>
              <w:rPr>
                <w:b/>
                <w:color w:val="FFFFFF"/>
                <w:sz w:val="28"/>
                <w:szCs w:val="28"/>
              </w:rPr>
              <w:t>Favorable EEG patterns non-ACNS-defined for prediction of good neurological outcome in adults with cardiac arrest</w:t>
            </w:r>
          </w:p>
          <w:p w:rsidR="00F10439"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F10439">
        <w:tc>
          <w:tcPr>
            <w:tcW w:w="1718" w:type="dxa"/>
            <w:tcBorders>
              <w:bottom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tcPr>
          <w:p w:rsidR="00F10439"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F10439">
        <w:tc>
          <w:tcPr>
            <w:tcW w:w="1718" w:type="dxa"/>
            <w:tcBorders>
              <w:bottom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Full-montage EEG assessed within 72h after cardiac arrest. </w:t>
            </w:r>
          </w:p>
        </w:tc>
      </w:tr>
      <w:tr w:rsidR="00F10439">
        <w:tc>
          <w:tcPr>
            <w:tcW w:w="1718" w:type="dxa"/>
            <w:tcBorders>
              <w:bottom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F10439">
        <w:tc>
          <w:tcPr>
            <w:tcW w:w="1718" w:type="dxa"/>
            <w:tcBorders>
              <w:bottom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tcPr>
          <w:p w:rsidR="00F10439" w:rsidRDefault="00000000">
            <w:pPr>
              <w:spacing w:after="0"/>
              <w:rPr>
                <w:sz w:val="20"/>
                <w:szCs w:val="20"/>
              </w:rPr>
            </w:pPr>
            <w:r>
              <w:rPr>
                <w:sz w:val="20"/>
                <w:szCs w:val="20"/>
              </w:rPr>
              <w:t>Prediction of good neurological outcome defined as Cerebral Performance Categories (CPC) on hospital discharge or three or six months after cardiac arrest</w:t>
            </w:r>
          </w:p>
        </w:tc>
      </w:tr>
      <w:tr w:rsidR="00F10439">
        <w:tc>
          <w:tcPr>
            <w:tcW w:w="1718" w:type="dxa"/>
            <w:tcBorders>
              <w:bottom w:val="dotted" w:sz="4" w:space="0" w:color="000000"/>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682" w:type="dxa"/>
            <w:tcBorders>
              <w:bottom w:val="single" w:sz="4" w:space="0" w:color="000000"/>
              <w:right w:val="single" w:sz="6" w:space="0" w:color="2E74B5"/>
            </w:tcBorders>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F10439">
        <w:tc>
          <w:tcPr>
            <w:tcW w:w="1718" w:type="dxa"/>
            <w:tcBorders>
              <w:top w:val="dotted" w:sz="4" w:space="0" w:color="000000"/>
              <w:bottom w:val="single" w:sz="6" w:space="0" w:color="2E74B5"/>
            </w:tcBorders>
            <w:shd w:val="clear" w:color="auto" w:fill="2E74B5"/>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682" w:type="dxa"/>
            <w:tcBorders>
              <w:top w:val="single" w:sz="4" w:space="0" w:color="000000"/>
              <w:bottom w:val="single" w:sz="6" w:space="0" w:color="2E74B5"/>
              <w:right w:val="single" w:sz="6" w:space="0" w:color="2E74B5"/>
            </w:tcBorders>
            <w:tcMar>
              <w:top w:w="75" w:type="dxa"/>
              <w:left w:w="75" w:type="dxa"/>
              <w:bottom w:w="75" w:type="dxa"/>
              <w:right w:w="75" w:type="dxa"/>
            </w:tcMar>
          </w:tcPr>
          <w:p w:rsidR="00F10439"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F10439" w:rsidRDefault="00F10439">
            <w:pPr>
              <w:pBdr>
                <w:top w:val="nil"/>
                <w:left w:val="nil"/>
                <w:bottom w:val="nil"/>
                <w:right w:val="nil"/>
                <w:between w:val="nil"/>
              </w:pBdr>
              <w:spacing w:after="0" w:line="240" w:lineRule="auto"/>
              <w:rPr>
                <w:color w:val="000000"/>
                <w:sz w:val="20"/>
                <w:szCs w:val="20"/>
              </w:rPr>
            </w:pPr>
          </w:p>
          <w:p w:rsidR="00F1043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F1043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F10439">
            <w:pPr>
              <w:rPr>
                <w:sz w:val="20"/>
                <w:szCs w:val="20"/>
              </w:rPr>
            </w:pP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t>● Trivial</w:t>
            </w:r>
            <w:r>
              <w:rPr>
                <w:sz w:val="20"/>
                <w:szCs w:val="20"/>
              </w:rPr>
              <w:br/>
              <w:t>○ Small</w:t>
            </w:r>
          </w:p>
          <w:p w:rsidR="00F10439" w:rsidRDefault="00000000">
            <w:pPr>
              <w:spacing w:after="0"/>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p w:rsidR="00F10439" w:rsidRDefault="00F10439">
            <w:pPr>
              <w:rPr>
                <w:sz w:val="20"/>
                <w:szCs w:val="20"/>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xml:space="preserve">Three studies [Lamartine, 2016; </w:t>
            </w:r>
            <w:proofErr w:type="spellStart"/>
            <w:r>
              <w:rPr>
                <w:sz w:val="20"/>
                <w:szCs w:val="20"/>
              </w:rPr>
              <w:t>Leao</w:t>
            </w:r>
            <w:proofErr w:type="spellEnd"/>
            <w:r>
              <w:rPr>
                <w:sz w:val="20"/>
                <w:szCs w:val="20"/>
              </w:rPr>
              <w:t>, 2015; Alvarez, 2015] defined favorable EEG patterns using heterogeneous definitions none of which complied with the American Clinical Neurophysiology Society’s (ACNS) terminology. Those definitions were mostly based on dominant frequencies of the background activity (theta or alpha vs. delta) and none excluded superimposed discharges.  The timing of outcome was hospital discharge in one study [Alvarez, 2015], three months in one study [Lamartine, 2016] and six months in one [</w:t>
            </w:r>
            <w:proofErr w:type="spellStart"/>
            <w:r>
              <w:rPr>
                <w:sz w:val="20"/>
                <w:szCs w:val="20"/>
              </w:rPr>
              <w:t>Leao</w:t>
            </w:r>
            <w:proofErr w:type="spellEnd"/>
            <w:r>
              <w:rPr>
                <w:sz w:val="20"/>
                <w:szCs w:val="20"/>
              </w:rPr>
              <w:t xml:space="preserve">, 2015]. </w:t>
            </w:r>
          </w:p>
          <w:p w:rsidR="00F10439" w:rsidRDefault="00000000">
            <w:pPr>
              <w:rPr>
                <w:sz w:val="20"/>
                <w:szCs w:val="20"/>
              </w:rPr>
            </w:pPr>
            <w:r>
              <w:rPr>
                <w:sz w:val="20"/>
                <w:szCs w:val="20"/>
              </w:rPr>
              <w:t>In one study [Lamartine, 2016] EEG was assessed at several time-windows within 24 hours after CA (at 0–8h, 8–16h, and 16–24h</w:t>
            </w:r>
            <w:r>
              <w:rPr>
                <w:b/>
                <w:sz w:val="20"/>
                <w:szCs w:val="20"/>
              </w:rPr>
              <w:t>) and specificity to predict good outcome ranged between 64% and 77% being highest at the earliest time-window (sensitivities ranged between 86% to 96%).</w:t>
            </w:r>
            <w:r>
              <w:rPr>
                <w:sz w:val="20"/>
                <w:szCs w:val="20"/>
              </w:rPr>
              <w:t xml:space="preserve"> In another [</w:t>
            </w:r>
            <w:proofErr w:type="spellStart"/>
            <w:r>
              <w:rPr>
                <w:sz w:val="20"/>
                <w:szCs w:val="20"/>
              </w:rPr>
              <w:t>Alvarex</w:t>
            </w:r>
            <w:proofErr w:type="spellEnd"/>
            <w:r>
              <w:rPr>
                <w:sz w:val="20"/>
                <w:szCs w:val="20"/>
              </w:rPr>
              <w:t xml:space="preserve">, 2015] study EEG assessed within 24 hours after CA favorable EEG pattern predicted good outcome with specificity of </w:t>
            </w:r>
            <w:r>
              <w:rPr>
                <w:b/>
                <w:sz w:val="20"/>
                <w:szCs w:val="20"/>
              </w:rPr>
              <w:t>100% but sensitivity was low 25%.</w:t>
            </w:r>
            <w:r>
              <w:rPr>
                <w:sz w:val="20"/>
                <w:szCs w:val="20"/>
              </w:rPr>
              <w:t xml:space="preserve"> </w:t>
            </w:r>
          </w:p>
          <w:p w:rsidR="00F10439" w:rsidRDefault="00000000">
            <w:pPr>
              <w:rPr>
                <w:sz w:val="20"/>
                <w:szCs w:val="20"/>
              </w:rPr>
            </w:pPr>
            <w:r>
              <w:rPr>
                <w:sz w:val="20"/>
                <w:szCs w:val="20"/>
              </w:rPr>
              <w:t xml:space="preserve">All three studies assessed EEG approximately </w:t>
            </w:r>
            <w:r>
              <w:rPr>
                <w:b/>
                <w:sz w:val="20"/>
                <w:szCs w:val="20"/>
              </w:rPr>
              <w:t>within 24–48 h after CA and the specificities to predict good outcome ranged between 68% and 91% (sensitivities from 75% to 96%)</w:t>
            </w:r>
          </w:p>
          <w:p w:rsidR="00F10439" w:rsidRDefault="00000000">
            <w:pPr>
              <w:pBdr>
                <w:top w:val="nil"/>
                <w:left w:val="nil"/>
                <w:bottom w:val="nil"/>
                <w:right w:val="nil"/>
                <w:between w:val="nil"/>
              </w:pBdr>
              <w:spacing w:line="240" w:lineRule="auto"/>
              <w:rPr>
                <w:color w:val="000000"/>
                <w:sz w:val="16"/>
                <w:szCs w:val="16"/>
              </w:rPr>
            </w:pPr>
            <w:r>
              <w:rPr>
                <w:color w:val="000000"/>
                <w:sz w:val="16"/>
                <w:szCs w:val="16"/>
              </w:rPr>
              <w:t xml:space="preserve">Lamartine Monteiro M, </w:t>
            </w:r>
            <w:proofErr w:type="spellStart"/>
            <w:r>
              <w:rPr>
                <w:color w:val="000000"/>
                <w:sz w:val="16"/>
                <w:szCs w:val="16"/>
              </w:rPr>
              <w:t>Taccone</w:t>
            </w:r>
            <w:proofErr w:type="spellEnd"/>
            <w:r>
              <w:rPr>
                <w:color w:val="000000"/>
                <w:sz w:val="16"/>
                <w:szCs w:val="16"/>
              </w:rPr>
              <w:t xml:space="preserve"> FS, </w:t>
            </w:r>
            <w:proofErr w:type="spellStart"/>
            <w:r>
              <w:rPr>
                <w:color w:val="000000"/>
                <w:sz w:val="16"/>
                <w:szCs w:val="16"/>
              </w:rPr>
              <w:t>Depondt</w:t>
            </w:r>
            <w:proofErr w:type="spellEnd"/>
            <w:r>
              <w:rPr>
                <w:color w:val="000000"/>
                <w:sz w:val="16"/>
                <w:szCs w:val="16"/>
              </w:rPr>
              <w:t xml:space="preserve"> C, et al. (2016) The prog- </w:t>
            </w:r>
            <w:proofErr w:type="spellStart"/>
            <w:r>
              <w:rPr>
                <w:color w:val="000000"/>
                <w:sz w:val="16"/>
                <w:szCs w:val="16"/>
              </w:rPr>
              <w:t>nostic</w:t>
            </w:r>
            <w:proofErr w:type="spellEnd"/>
            <w:r>
              <w:rPr>
                <w:color w:val="000000"/>
                <w:sz w:val="16"/>
                <w:szCs w:val="16"/>
              </w:rPr>
              <w:t xml:space="preserve"> value of 48-h continuous EEG during therapeutic hypothermia after cardiac arrest. </w:t>
            </w:r>
            <w:proofErr w:type="spellStart"/>
            <w:r>
              <w:rPr>
                <w:color w:val="000000"/>
                <w:sz w:val="16"/>
                <w:szCs w:val="16"/>
              </w:rPr>
              <w:t>Neurocrit</w:t>
            </w:r>
            <w:proofErr w:type="spellEnd"/>
            <w:r>
              <w:rPr>
                <w:color w:val="000000"/>
                <w:sz w:val="16"/>
                <w:szCs w:val="16"/>
              </w:rPr>
              <w:t xml:space="preserve"> Care 24:153–162</w:t>
            </w:r>
          </w:p>
          <w:p w:rsidR="00F10439" w:rsidRDefault="00000000">
            <w:pPr>
              <w:pBdr>
                <w:top w:val="nil"/>
                <w:left w:val="nil"/>
                <w:bottom w:val="nil"/>
                <w:right w:val="nil"/>
                <w:between w:val="nil"/>
              </w:pBdr>
              <w:spacing w:line="240" w:lineRule="auto"/>
              <w:rPr>
                <w:color w:val="000000"/>
                <w:sz w:val="16"/>
                <w:szCs w:val="16"/>
              </w:rPr>
            </w:pPr>
            <w:proofErr w:type="spellStart"/>
            <w:r>
              <w:rPr>
                <w:color w:val="000000"/>
                <w:sz w:val="16"/>
                <w:szCs w:val="16"/>
              </w:rPr>
              <w:t>Leao</w:t>
            </w:r>
            <w:proofErr w:type="spellEnd"/>
            <w:r>
              <w:rPr>
                <w:color w:val="000000"/>
                <w:sz w:val="16"/>
                <w:szCs w:val="16"/>
              </w:rPr>
              <w:t xml:space="preserve"> RN, Avila P, Cavaco R, </w:t>
            </w:r>
            <w:proofErr w:type="spellStart"/>
            <w:r>
              <w:rPr>
                <w:color w:val="000000"/>
                <w:sz w:val="16"/>
                <w:szCs w:val="16"/>
              </w:rPr>
              <w:t>Germano</w:t>
            </w:r>
            <w:proofErr w:type="spellEnd"/>
            <w:r>
              <w:rPr>
                <w:color w:val="000000"/>
                <w:sz w:val="16"/>
                <w:szCs w:val="16"/>
              </w:rPr>
              <w:t xml:space="preserve"> N, Bento L (2015) Therapeutic hypothermia after cardiac arrest: outcome predictors. </w:t>
            </w:r>
            <w:proofErr w:type="spellStart"/>
            <w:r>
              <w:rPr>
                <w:color w:val="000000"/>
                <w:sz w:val="16"/>
                <w:szCs w:val="16"/>
              </w:rPr>
              <w:t>Revista</w:t>
            </w:r>
            <w:proofErr w:type="spellEnd"/>
            <w:r>
              <w:rPr>
                <w:color w:val="000000"/>
                <w:sz w:val="16"/>
                <w:szCs w:val="16"/>
              </w:rPr>
              <w:t xml:space="preserve"> </w:t>
            </w:r>
            <w:proofErr w:type="spellStart"/>
            <w:r>
              <w:rPr>
                <w:color w:val="000000"/>
                <w:sz w:val="16"/>
                <w:szCs w:val="16"/>
              </w:rPr>
              <w:t>Brasileira</w:t>
            </w:r>
            <w:proofErr w:type="spellEnd"/>
            <w:r>
              <w:rPr>
                <w:color w:val="000000"/>
                <w:sz w:val="16"/>
                <w:szCs w:val="16"/>
              </w:rPr>
              <w:t xml:space="preserve"> de </w:t>
            </w:r>
            <w:proofErr w:type="spellStart"/>
            <w:r>
              <w:rPr>
                <w:color w:val="000000"/>
                <w:sz w:val="16"/>
                <w:szCs w:val="16"/>
              </w:rPr>
              <w:t>terapia</w:t>
            </w:r>
            <w:proofErr w:type="spellEnd"/>
            <w:r>
              <w:rPr>
                <w:color w:val="000000"/>
                <w:sz w:val="16"/>
                <w:szCs w:val="16"/>
              </w:rPr>
              <w:t xml:space="preserve"> </w:t>
            </w:r>
            <w:proofErr w:type="spellStart"/>
            <w:r>
              <w:rPr>
                <w:color w:val="000000"/>
                <w:sz w:val="16"/>
                <w:szCs w:val="16"/>
              </w:rPr>
              <w:t>intensiva</w:t>
            </w:r>
            <w:proofErr w:type="spellEnd"/>
            <w:r>
              <w:rPr>
                <w:color w:val="000000"/>
                <w:sz w:val="16"/>
                <w:szCs w:val="16"/>
              </w:rPr>
              <w:t xml:space="preserve"> 27:322–332</w:t>
            </w:r>
          </w:p>
          <w:p w:rsidR="00F10439" w:rsidRDefault="00000000">
            <w:pPr>
              <w:pBdr>
                <w:top w:val="nil"/>
                <w:left w:val="nil"/>
                <w:bottom w:val="nil"/>
                <w:right w:val="nil"/>
                <w:between w:val="nil"/>
              </w:pBdr>
              <w:spacing w:line="240" w:lineRule="auto"/>
              <w:rPr>
                <w:color w:val="000000"/>
                <w:sz w:val="16"/>
                <w:szCs w:val="16"/>
              </w:rPr>
            </w:pPr>
            <w:r>
              <w:rPr>
                <w:color w:val="000000"/>
                <w:sz w:val="16"/>
                <w:szCs w:val="16"/>
              </w:rPr>
              <w:t xml:space="preserve">Alvarez V, </w:t>
            </w:r>
            <w:proofErr w:type="spellStart"/>
            <w:r>
              <w:rPr>
                <w:color w:val="000000"/>
                <w:sz w:val="16"/>
                <w:szCs w:val="16"/>
              </w:rPr>
              <w:t>Reinsberger</w:t>
            </w:r>
            <w:proofErr w:type="spellEnd"/>
            <w:r>
              <w:rPr>
                <w:color w:val="000000"/>
                <w:sz w:val="16"/>
                <w:szCs w:val="16"/>
              </w:rPr>
              <w:t xml:space="preserve"> C, </w:t>
            </w:r>
            <w:proofErr w:type="spellStart"/>
            <w:r>
              <w:rPr>
                <w:color w:val="000000"/>
                <w:sz w:val="16"/>
                <w:szCs w:val="16"/>
              </w:rPr>
              <w:t>Scirica</w:t>
            </w:r>
            <w:proofErr w:type="spellEnd"/>
            <w:r>
              <w:rPr>
                <w:color w:val="000000"/>
                <w:sz w:val="16"/>
                <w:szCs w:val="16"/>
              </w:rPr>
              <w:t xml:space="preserve"> B, et al. (2015) Continuous electrodermal activity as a potential novel neurophysiological biomarker of prognosis after cardiac arrest—a pilot study. Resuscitation 93:128–135</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F10439">
            <w:pPr>
              <w:rPr>
                <w:sz w:val="18"/>
                <w:szCs w:val="18"/>
              </w:rPr>
            </w:pP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10439">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 Varies </w:t>
            </w:r>
          </w:p>
          <w:p w:rsidR="00F10439" w:rsidRDefault="00000000">
            <w:pPr>
              <w:rPr>
                <w:sz w:val="20"/>
                <w:szCs w:val="20"/>
              </w:rPr>
            </w:pPr>
            <w:r>
              <w:rPr>
                <w:sz w:val="20"/>
                <w:szCs w:val="20"/>
              </w:rPr>
              <w:lastRenderedPageBreak/>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lastRenderedPageBreak/>
              <w:t>None known.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A falsely optimistic prediction in a patient with poor neurological outcome may potentially lead to the delivery of futile care.</w:t>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10439">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xml:space="preserve">The certainty of evidence about varying favorable EEG patterns is very low </w:t>
            </w:r>
            <w:r>
              <w:t>because of bias (mainly due to lack of blinding), inconsistency of definitions, and imprecision.</w:t>
            </w:r>
          </w:p>
          <w:p w:rsidR="00F10439" w:rsidRDefault="00F1043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F10439">
            <w:pPr>
              <w:rPr>
                <w:sz w:val="20"/>
                <w:szCs w:val="20"/>
              </w:rPr>
            </w:pP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F10439">
        <w:trPr>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tabs>
                <w:tab w:val="left" w:pos="7785"/>
              </w:tabs>
              <w:rPr>
                <w:sz w:val="20"/>
                <w:szCs w:val="20"/>
              </w:rPr>
            </w:pPr>
            <w:r>
              <w:rPr>
                <w:sz w:val="20"/>
                <w:szCs w:val="20"/>
              </w:rPr>
              <w:t>All studies defined good outcome as CPC 1–2</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Additional outcomes about neurocognitive status and quality of life were not assessed.</w:t>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21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lastRenderedPageBreak/>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Evidence from three studies showed that heterogeneous, non-ACNS-defined benign EEG patterns mainly based on dominant frequency, are associated with good neurological outcome. However, the evidence was heterogeneous and limited to three studies.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br/>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F10439" w:rsidRDefault="00000000">
            <w:pPr>
              <w:spacing w:after="0"/>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We did not include any specific studies assessing EEG costs. However, specific e</w:t>
            </w:r>
            <w:r>
              <w:t xml:space="preserve">quipment and skills </w:t>
            </w:r>
            <w:r>
              <w:rPr>
                <w:sz w:val="20"/>
                <w:szCs w:val="20"/>
              </w:rPr>
              <w:t>are required for assessing EEG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F10439">
            <w:pPr>
              <w:rPr>
                <w:sz w:val="20"/>
                <w:szCs w:val="20"/>
              </w:rPr>
            </w:pP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xml:space="preserve">We did not identify any studies specifically assessing costs of EEGs.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18"/>
                <w:szCs w:val="18"/>
              </w:rPr>
            </w:pPr>
            <w:r>
              <w:rPr>
                <w:sz w:val="18"/>
                <w:szCs w:val="18"/>
              </w:rPr>
              <w:br/>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F10439"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t>○ Favors the comparison</w:t>
            </w:r>
            <w:r>
              <w:rPr>
                <w:sz w:val="20"/>
                <w:szCs w:val="20"/>
              </w:rPr>
              <w:br/>
              <w:t>○ Probably favors the comparison</w:t>
            </w:r>
            <w:r>
              <w:rPr>
                <w:sz w:val="20"/>
                <w:szCs w:val="20"/>
              </w:rPr>
              <w:br/>
            </w:r>
            <w:r>
              <w:rPr>
                <w:sz w:val="20"/>
                <w:szCs w:val="20"/>
              </w:rPr>
              <w:lastRenderedPageBreak/>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lastRenderedPageBreak/>
              <w:t xml:space="preserve">We did not identify any studies addressing cost-effectiveness of EEGs.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18"/>
                <w:szCs w:val="18"/>
              </w:rPr>
            </w:pPr>
            <w:r>
              <w:rPr>
                <w:sz w:val="18"/>
                <w:szCs w:val="18"/>
              </w:rPr>
              <w:br/>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Equity</w:t>
            </w:r>
          </w:p>
          <w:p w:rsidR="00F10439" w:rsidRDefault="00000000">
            <w:pPr>
              <w:pBdr>
                <w:top w:val="nil"/>
                <w:left w:val="nil"/>
                <w:bottom w:val="nil"/>
                <w:right w:val="nil"/>
                <w:between w:val="nil"/>
              </w:pBdr>
              <w:spacing w:after="0" w:line="240" w:lineRule="auto"/>
              <w:rPr>
                <w:color w:val="FFFFFF"/>
                <w:sz w:val="20"/>
                <w:szCs w:val="20"/>
              </w:rPr>
            </w:pPr>
            <w:r>
              <w:rPr>
                <w:color w:val="FFFFFF"/>
                <w:sz w:val="20"/>
                <w:szCs w:val="20"/>
              </w:rPr>
              <w:t>What would be the impact on health equity?</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spacing w:after="0"/>
              <w:rPr>
                <w:sz w:val="20"/>
                <w:szCs w:val="20"/>
              </w:rPr>
            </w:pPr>
            <w:r>
              <w:rPr>
                <w:sz w:val="20"/>
                <w:szCs w:val="20"/>
              </w:rPr>
              <w:t>○ Reduced</w:t>
            </w:r>
            <w:r>
              <w:rPr>
                <w:sz w:val="20"/>
                <w:szCs w:val="20"/>
              </w:rPr>
              <w:br/>
              <w:t>● Probably reduced</w:t>
            </w:r>
            <w:r>
              <w:rPr>
                <w:sz w:val="20"/>
                <w:szCs w:val="20"/>
              </w:rPr>
              <w:br/>
              <w:t>○ Probably no impact</w:t>
            </w:r>
            <w:r>
              <w:rPr>
                <w:sz w:val="20"/>
                <w:szCs w:val="20"/>
              </w:rPr>
              <w:br/>
              <w:t>○ Probably increased</w:t>
            </w:r>
            <w:r>
              <w:rPr>
                <w:sz w:val="20"/>
                <w:szCs w:val="20"/>
              </w:rPr>
              <w:br/>
              <w:t>○ Increased</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xml:space="preserve">The specific equipment and skills needed to assess EEGs are not available everywhere. This can create a problem in terms of equity.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18"/>
                <w:szCs w:val="18"/>
              </w:rPr>
            </w:pPr>
            <w:r>
              <w:rPr>
                <w:sz w:val="18"/>
                <w:szCs w:val="18"/>
              </w:rPr>
              <w:br/>
            </w: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Acceptability</w:t>
            </w:r>
          </w:p>
          <w:p w:rsidR="00F10439"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acceptable to key stakeholders?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rPr>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We have not identified any research that assessed acceptability of EEGs. However, acceptability is likely.</w:t>
            </w:r>
          </w:p>
          <w:p w:rsidR="00F10439" w:rsidRDefault="00F10439">
            <w:pPr>
              <w:rPr>
                <w:sz w:val="20"/>
                <w:szCs w:val="20"/>
              </w:rPr>
            </w:pPr>
          </w:p>
          <w:p w:rsidR="00F10439" w:rsidRDefault="00F1043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F10439">
            <w:pPr>
              <w:rPr>
                <w:sz w:val="18"/>
                <w:szCs w:val="18"/>
              </w:rPr>
            </w:pPr>
          </w:p>
        </w:tc>
      </w:tr>
      <w:tr w:rsidR="00F1043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Feasibility</w:t>
            </w:r>
          </w:p>
          <w:p w:rsidR="00F10439"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feasible to implement?</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F1043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r>
            <w:r>
              <w:rPr>
                <w:sz w:val="20"/>
                <w:szCs w:val="20"/>
              </w:rPr>
              <w:lastRenderedPageBreak/>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sz w:val="20"/>
                <w:szCs w:val="20"/>
              </w:rPr>
            </w:pPr>
            <w:r>
              <w:rPr>
                <w:sz w:val="20"/>
                <w:szCs w:val="20"/>
              </w:rPr>
              <w:lastRenderedPageBreak/>
              <w:t>The equipment and skills required for their assessment may represent an obstacle for their implementation.</w:t>
            </w:r>
          </w:p>
          <w:p w:rsidR="00F10439" w:rsidRDefault="00F1043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0439" w:rsidRDefault="00000000">
            <w:pPr>
              <w:rPr>
                <w:color w:val="FF0000"/>
                <w:sz w:val="18"/>
                <w:szCs w:val="18"/>
              </w:rPr>
            </w:pPr>
            <w:r>
              <w:rPr>
                <w:sz w:val="18"/>
                <w:szCs w:val="18"/>
              </w:rPr>
              <w:lastRenderedPageBreak/>
              <w:br/>
            </w:r>
          </w:p>
        </w:tc>
      </w:tr>
    </w:tbl>
    <w:p w:rsidR="00F10439" w:rsidRDefault="00F10439">
      <w:pPr>
        <w:pStyle w:val="Heading1"/>
        <w:spacing w:before="280" w:after="20"/>
        <w:rPr>
          <w:rFonts w:ascii="Calibri" w:hAnsi="Calibri" w:cs="Calibri"/>
          <w:smallCaps/>
          <w:color w:val="000000"/>
          <w:sz w:val="30"/>
          <w:szCs w:val="30"/>
        </w:rPr>
      </w:pPr>
    </w:p>
    <w:p w:rsidR="00F1043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1" w:type="dxa"/>
        <w:tblLayout w:type="fixed"/>
        <w:tblLook w:val="0400" w:firstRow="0" w:lastRow="0" w:firstColumn="0" w:lastColumn="0" w:noHBand="0" w:noVBand="1"/>
      </w:tblPr>
      <w:tblGrid>
        <w:gridCol w:w="2349"/>
        <w:gridCol w:w="1725"/>
        <w:gridCol w:w="1725"/>
        <w:gridCol w:w="1767"/>
        <w:gridCol w:w="1733"/>
        <w:gridCol w:w="1733"/>
        <w:gridCol w:w="1646"/>
        <w:gridCol w:w="1713"/>
      </w:tblGrid>
      <w:tr w:rsidR="00F10439">
        <w:trPr>
          <w:tblHeader/>
        </w:trPr>
        <w:tc>
          <w:tcPr>
            <w:tcW w:w="2350" w:type="dxa"/>
            <w:tcMar>
              <w:top w:w="75" w:type="dxa"/>
              <w:left w:w="75" w:type="dxa"/>
              <w:bottom w:w="75" w:type="dxa"/>
              <w:right w:w="75" w:type="dxa"/>
            </w:tcMar>
            <w:vAlign w:val="center"/>
          </w:tcPr>
          <w:p w:rsidR="00F10439" w:rsidRDefault="00F10439">
            <w:pPr>
              <w:rPr>
                <w:smallCaps/>
                <w:color w:val="000000"/>
                <w:sz w:val="30"/>
                <w:szCs w:val="30"/>
              </w:rPr>
            </w:pPr>
          </w:p>
        </w:tc>
        <w:tc>
          <w:tcPr>
            <w:tcW w:w="12042"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b/>
                <w:color w:val="000000"/>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Trivial</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Small</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Moderate</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Trivial</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Possibly important uncertainty or variability</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spacing w:after="0"/>
              <w:rPr>
                <w:sz w:val="20"/>
                <w:szCs w:val="20"/>
              </w:rPr>
            </w:pP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6A6A6"/>
                <w:sz w:val="16"/>
                <w:szCs w:val="16"/>
              </w:rPr>
            </w:pPr>
            <w:r>
              <w:rPr>
                <w:b/>
                <w:color w:val="000000"/>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spacing w:after="0"/>
              <w:rPr>
                <w:sz w:val="20"/>
                <w:szCs w:val="20"/>
              </w:rPr>
            </w:pP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Probably no impact</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F10439">
        <w:tc>
          <w:tcPr>
            <w:tcW w:w="235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F1043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FEASIBILITY</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F10439" w:rsidRDefault="00F10439">
            <w:pPr>
              <w:rPr>
                <w:color w:val="AEAAAA"/>
                <w:sz w:val="16"/>
                <w:szCs w:val="16"/>
              </w:rPr>
            </w:pPr>
          </w:p>
        </w:tc>
        <w:tc>
          <w:tcPr>
            <w:tcW w:w="16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1043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F10439" w:rsidRDefault="00F10439">
      <w:pPr>
        <w:rPr>
          <w:color w:val="000000"/>
          <w:sz w:val="16"/>
          <w:szCs w:val="16"/>
        </w:rPr>
      </w:pPr>
    </w:p>
    <w:p w:rsidR="00F1043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F10439">
        <w:tc>
          <w:tcPr>
            <w:tcW w:w="2876" w:type="dxa"/>
            <w:tcMar>
              <w:top w:w="75" w:type="dxa"/>
              <w:left w:w="0" w:type="dxa"/>
              <w:bottom w:w="0" w:type="dxa"/>
              <w:right w:w="0" w:type="dxa"/>
            </w:tcMar>
          </w:tcPr>
          <w:p w:rsidR="00F1043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F10439"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F1043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F1043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F1043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F10439">
        <w:trPr>
          <w:trHeight w:val="146"/>
        </w:trPr>
        <w:tc>
          <w:tcPr>
            <w:tcW w:w="2876" w:type="dxa"/>
            <w:tcMar>
              <w:top w:w="0" w:type="dxa"/>
              <w:left w:w="0" w:type="dxa"/>
              <w:bottom w:w="75" w:type="dxa"/>
              <w:right w:w="0" w:type="dxa"/>
            </w:tcMar>
          </w:tcPr>
          <w:p w:rsidR="00F1043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F10439"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F1043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F1043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F1043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F10439" w:rsidRDefault="00F10439">
      <w:pPr>
        <w:rPr>
          <w:color w:val="000000"/>
          <w:sz w:val="16"/>
          <w:szCs w:val="16"/>
        </w:rPr>
      </w:pPr>
    </w:p>
    <w:p w:rsidR="00F1043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400" w:type="dxa"/>
        <w:tblLayout w:type="fixed"/>
        <w:tblLook w:val="0400" w:firstRow="0" w:lastRow="0" w:firstColumn="0" w:lastColumn="0" w:noHBand="0" w:noVBand="1"/>
      </w:tblPr>
      <w:tblGrid>
        <w:gridCol w:w="14400"/>
      </w:tblGrid>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Recommendations</w:t>
            </w:r>
          </w:p>
        </w:tc>
      </w:tr>
      <w:tr w:rsidR="00F10439">
        <w:trPr>
          <w:trHeight w:val="1080"/>
        </w:trPr>
        <w:tc>
          <w:tcPr>
            <w:tcW w:w="14400" w:type="dxa"/>
            <w:tcMar>
              <w:top w:w="75" w:type="dxa"/>
              <w:left w:w="75" w:type="dxa"/>
              <w:bottom w:w="75" w:type="dxa"/>
              <w:right w:w="75" w:type="dxa"/>
            </w:tcMar>
          </w:tcPr>
          <w:p w:rsidR="00F10439" w:rsidRDefault="00000000">
            <w:pPr>
              <w:rPr>
                <w:b/>
                <w:sz w:val="20"/>
                <w:szCs w:val="20"/>
              </w:rPr>
            </w:pPr>
            <w:r>
              <w:rPr>
                <w:b/>
                <w:sz w:val="20"/>
                <w:szCs w:val="20"/>
              </w:rPr>
              <w:t>We suggest against using heterogeneous, non-ACNS-defined benign EEG patterns to predict good neurological outcome after cardiac arrest.</w:t>
            </w:r>
          </w:p>
        </w:tc>
      </w:tr>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F10439">
        <w:trPr>
          <w:trHeight w:val="1080"/>
        </w:trPr>
        <w:tc>
          <w:tcPr>
            <w:tcW w:w="14400" w:type="dxa"/>
            <w:tcMar>
              <w:top w:w="75" w:type="dxa"/>
              <w:left w:w="75" w:type="dxa"/>
              <w:bottom w:w="75" w:type="dxa"/>
              <w:right w:w="75" w:type="dxa"/>
            </w:tcMar>
          </w:tcPr>
          <w:p w:rsidR="00F10439" w:rsidRDefault="00000000">
            <w:pPr>
              <w:rPr>
                <w:sz w:val="20"/>
                <w:szCs w:val="20"/>
              </w:rPr>
            </w:pPr>
            <w:r>
              <w:rPr>
                <w:sz w:val="20"/>
                <w:szCs w:val="20"/>
              </w:rPr>
              <w:t xml:space="preserve"> In recommending against using non-ACNS-defined benign EEG patterns to predict good neurological outcome after cardiac arrest, the panel considered the limited evidence and the heterogeneity of pattern definitions. </w:t>
            </w:r>
          </w:p>
          <w:p w:rsidR="00F10439" w:rsidRDefault="00F10439">
            <w:pPr>
              <w:rPr>
                <w:sz w:val="20"/>
                <w:szCs w:val="20"/>
              </w:rPr>
            </w:pPr>
          </w:p>
        </w:tc>
      </w:tr>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F10439">
        <w:trPr>
          <w:trHeight w:val="647"/>
        </w:trPr>
        <w:tc>
          <w:tcPr>
            <w:tcW w:w="14400" w:type="dxa"/>
            <w:tcMar>
              <w:top w:w="75" w:type="dxa"/>
              <w:left w:w="75" w:type="dxa"/>
              <w:bottom w:w="75" w:type="dxa"/>
              <w:right w:w="75" w:type="dxa"/>
            </w:tcMar>
          </w:tcPr>
          <w:p w:rsidR="00F10439" w:rsidRDefault="00F10439">
            <w:pPr>
              <w:rPr>
                <w:sz w:val="20"/>
                <w:szCs w:val="20"/>
              </w:rPr>
            </w:pPr>
          </w:p>
        </w:tc>
      </w:tr>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F10439" w:rsidRDefault="00F10439">
      <w:pPr>
        <w:widowControl w:val="0"/>
        <w:pBdr>
          <w:top w:val="nil"/>
          <w:left w:val="nil"/>
          <w:bottom w:val="nil"/>
          <w:right w:val="nil"/>
          <w:between w:val="nil"/>
        </w:pBdr>
        <w:spacing w:after="0" w:line="276" w:lineRule="auto"/>
        <w:rPr>
          <w:color w:val="FFFFFF"/>
          <w:sz w:val="26"/>
          <w:szCs w:val="26"/>
        </w:rPr>
      </w:pPr>
    </w:p>
    <w:tbl>
      <w:tblPr>
        <w:tblStyle w:val="a4"/>
        <w:tblW w:w="14400" w:type="dxa"/>
        <w:tblLayout w:type="fixed"/>
        <w:tblLook w:val="0400" w:firstRow="0" w:lastRow="0" w:firstColumn="0" w:lastColumn="0" w:noHBand="0" w:noVBand="1"/>
      </w:tblPr>
      <w:tblGrid>
        <w:gridCol w:w="14400"/>
      </w:tblGrid>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Monitoring and evaluation</w:t>
            </w:r>
          </w:p>
        </w:tc>
      </w:tr>
      <w:tr w:rsidR="00F10439">
        <w:trPr>
          <w:trHeight w:val="455"/>
        </w:trPr>
        <w:tc>
          <w:tcPr>
            <w:tcW w:w="14400" w:type="dxa"/>
            <w:tcMar>
              <w:top w:w="75" w:type="dxa"/>
              <w:left w:w="75" w:type="dxa"/>
              <w:bottom w:w="75" w:type="dxa"/>
              <w:right w:w="75" w:type="dxa"/>
            </w:tcMar>
          </w:tcPr>
          <w:p w:rsidR="00F10439" w:rsidRDefault="00F10439">
            <w:pPr>
              <w:rPr>
                <w:sz w:val="20"/>
                <w:szCs w:val="20"/>
              </w:rPr>
            </w:pPr>
          </w:p>
        </w:tc>
      </w:tr>
      <w:tr w:rsidR="00F10439">
        <w:tc>
          <w:tcPr>
            <w:tcW w:w="14400" w:type="dxa"/>
            <w:shd w:val="clear" w:color="auto" w:fill="2E74B5"/>
            <w:tcMar>
              <w:top w:w="75" w:type="dxa"/>
              <w:left w:w="75" w:type="dxa"/>
              <w:bottom w:w="75" w:type="dxa"/>
              <w:right w:w="75" w:type="dxa"/>
            </w:tcMar>
          </w:tcPr>
          <w:p w:rsidR="00F1043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F10439">
        <w:trPr>
          <w:trHeight w:val="1080"/>
        </w:trPr>
        <w:tc>
          <w:tcPr>
            <w:tcW w:w="14400" w:type="dxa"/>
            <w:tcMar>
              <w:top w:w="75" w:type="dxa"/>
              <w:left w:w="75" w:type="dxa"/>
              <w:bottom w:w="75" w:type="dxa"/>
              <w:right w:w="75" w:type="dxa"/>
            </w:tcMar>
          </w:tcPr>
          <w:p w:rsidR="00F10439" w:rsidRDefault="00000000">
            <w:pPr>
              <w:pBdr>
                <w:top w:val="nil"/>
                <w:left w:val="nil"/>
                <w:bottom w:val="nil"/>
                <w:right w:val="nil"/>
                <w:between w:val="nil"/>
              </w:pBdr>
              <w:spacing w:line="240" w:lineRule="auto"/>
              <w:rPr>
                <w:color w:val="000000"/>
                <w:sz w:val="20"/>
                <w:szCs w:val="20"/>
              </w:rPr>
            </w:pPr>
            <w:r>
              <w:rPr>
                <w:color w:val="000000"/>
                <w:sz w:val="20"/>
                <w:szCs w:val="20"/>
              </w:rPr>
              <w:t>Studies are needed to identify the role of dominant EEG rhythms in predicting good outcome after cardiac arrest.</w:t>
            </w:r>
          </w:p>
        </w:tc>
      </w:tr>
    </w:tbl>
    <w:p w:rsidR="00F10439" w:rsidRDefault="00F10439"/>
    <w:sectPr w:rsidR="00F10439">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39"/>
    <w:rsid w:val="00C05D64"/>
    <w:rsid w:val="00F1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ABA6E7-9A5A-324A-BFF2-5075518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1XKxiXEXAR+tZEngYHvcvoG+gQ==">AMUW2mVYj5C94HHiWphk1HWl2kgNGHekqcTVaQXfxiDFmqM0ZfxmUp8u6N8rpfU67cHo6j/NuFnUH3b3dPbbdmrWTEY2YUUYo5sw7zkSuziRT6w1K99Hcm8=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2022-12-22T19:01:00Z</dcterms:created>
  <dcterms:modified xsi:type="dcterms:W3CDTF">2022-12-22T19:01:00Z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aeeab6a126a24264334aab9abcab69852fdf97ecb2bdf5789253c2c8c2e30f14</vt:lpwstr>
  </property>
</Properties>
</file>