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8A1" w:rsidRDefault="00F218A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400" w:type="dxa"/>
        <w:tblLayout w:type="fixed"/>
        <w:tblLook w:val="0400" w:firstRow="0" w:lastRow="0" w:firstColumn="0" w:lastColumn="0" w:noHBand="0" w:noVBand="1"/>
      </w:tblPr>
      <w:tblGrid>
        <w:gridCol w:w="1910"/>
        <w:gridCol w:w="12490"/>
      </w:tblGrid>
      <w:tr w:rsidR="00F218A1">
        <w:tc>
          <w:tcPr>
            <w:tcW w:w="14400" w:type="dxa"/>
            <w:gridSpan w:val="2"/>
            <w:tcBorders>
              <w:bottom w:val="single" w:sz="6" w:space="0" w:color="2E74B5"/>
            </w:tcBorders>
            <w:tcMar>
              <w:top w:w="0" w:type="dxa"/>
              <w:left w:w="0" w:type="dxa"/>
              <w:bottom w:w="0" w:type="dxa"/>
              <w:right w:w="0" w:type="dxa"/>
            </w:tcMar>
          </w:tcPr>
          <w:p w:rsidR="00F218A1"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F218A1">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b/>
                <w:color w:val="FFFFFF"/>
                <w:sz w:val="28"/>
                <w:szCs w:val="28"/>
              </w:rPr>
            </w:pPr>
            <w:r>
              <w:rPr>
                <w:b/>
                <w:color w:val="FFFFFF"/>
                <w:sz w:val="28"/>
                <w:szCs w:val="28"/>
              </w:rPr>
              <w:t>Continuous amplitude-integrated EEG (</w:t>
            </w:r>
            <w:proofErr w:type="spellStart"/>
            <w:r>
              <w:rPr>
                <w:b/>
                <w:color w:val="FFFFFF"/>
                <w:sz w:val="28"/>
                <w:szCs w:val="28"/>
              </w:rPr>
              <w:t>aEEG</w:t>
            </w:r>
            <w:proofErr w:type="spellEnd"/>
            <w:r>
              <w:rPr>
                <w:b/>
                <w:color w:val="FFFFFF"/>
                <w:sz w:val="28"/>
                <w:szCs w:val="28"/>
              </w:rPr>
              <w:t>) or reduced montage EEG for prediction of good neurological outcome in adults with cardiac arrest</w:t>
            </w:r>
          </w:p>
          <w:p w:rsidR="00F218A1" w:rsidRDefault="00000000">
            <w:pPr>
              <w:pBdr>
                <w:top w:val="nil"/>
                <w:left w:val="nil"/>
                <w:bottom w:val="nil"/>
                <w:right w:val="nil"/>
                <w:between w:val="nil"/>
              </w:pBdr>
              <w:spacing w:after="0" w:line="240" w:lineRule="auto"/>
              <w:rPr>
                <w:b/>
                <w:color w:val="FFFFFF"/>
                <w:sz w:val="28"/>
                <w:szCs w:val="28"/>
              </w:rPr>
            </w:pPr>
            <w:r>
              <w:rPr>
                <w:b/>
                <w:color w:val="FFFFFF"/>
                <w:sz w:val="28"/>
                <w:szCs w:val="28"/>
              </w:rPr>
              <w:t>(Subsection of Prognostication ETD)</w:t>
            </w:r>
          </w:p>
        </w:tc>
      </w:tr>
      <w:tr w:rsidR="00F218A1">
        <w:tc>
          <w:tcPr>
            <w:tcW w:w="1910" w:type="dxa"/>
            <w:tcBorders>
              <w:bottom w:val="single" w:sz="6" w:space="0" w:color="2E74B5"/>
            </w:tcBorders>
            <w:shd w:val="clear" w:color="auto" w:fill="2E74B5"/>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490" w:type="dxa"/>
            <w:tcBorders>
              <w:bottom w:val="single" w:sz="6" w:space="0" w:color="2E74B5"/>
              <w:right w:val="single" w:sz="6" w:space="0" w:color="2E74B5"/>
            </w:tcBorders>
            <w:tcMar>
              <w:top w:w="75" w:type="dxa"/>
              <w:left w:w="75" w:type="dxa"/>
              <w:bottom w:w="75" w:type="dxa"/>
              <w:right w:w="75" w:type="dxa"/>
            </w:tcMar>
          </w:tcPr>
          <w:p w:rsidR="00F218A1"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F218A1">
        <w:tc>
          <w:tcPr>
            <w:tcW w:w="1910" w:type="dxa"/>
            <w:tcBorders>
              <w:bottom w:val="single" w:sz="6" w:space="0" w:color="2E74B5"/>
            </w:tcBorders>
            <w:shd w:val="clear" w:color="auto" w:fill="2E74B5"/>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490" w:type="dxa"/>
            <w:tcBorders>
              <w:bottom w:val="single" w:sz="6" w:space="0" w:color="2E74B5"/>
              <w:right w:val="single" w:sz="6" w:space="0" w:color="2E74B5"/>
            </w:tcBorders>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color w:val="000000"/>
                <w:sz w:val="20"/>
                <w:szCs w:val="20"/>
              </w:rPr>
            </w:pPr>
            <w:r>
              <w:rPr>
                <w:color w:val="000000"/>
                <w:sz w:val="20"/>
                <w:szCs w:val="20"/>
              </w:rPr>
              <w:t>Amplitude integrated EEG (</w:t>
            </w:r>
            <w:proofErr w:type="spellStart"/>
            <w:r>
              <w:rPr>
                <w:color w:val="000000"/>
                <w:sz w:val="20"/>
                <w:szCs w:val="20"/>
              </w:rPr>
              <w:t>aEEG</w:t>
            </w:r>
            <w:proofErr w:type="spellEnd"/>
            <w:r>
              <w:rPr>
                <w:color w:val="000000"/>
                <w:sz w:val="20"/>
                <w:szCs w:val="20"/>
              </w:rPr>
              <w:t xml:space="preserve">) or original EEG using reduced electrode montages assessed within 72 hours after cardiac arrest.  </w:t>
            </w:r>
          </w:p>
        </w:tc>
      </w:tr>
      <w:tr w:rsidR="00F218A1">
        <w:tc>
          <w:tcPr>
            <w:tcW w:w="1910" w:type="dxa"/>
            <w:tcBorders>
              <w:bottom w:val="single" w:sz="6" w:space="0" w:color="2E74B5"/>
            </w:tcBorders>
            <w:shd w:val="clear" w:color="auto" w:fill="2E74B5"/>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490" w:type="dxa"/>
            <w:tcBorders>
              <w:bottom w:val="single" w:sz="6" w:space="0" w:color="2E74B5"/>
              <w:right w:val="single" w:sz="6" w:space="0" w:color="2E74B5"/>
            </w:tcBorders>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F218A1">
        <w:tc>
          <w:tcPr>
            <w:tcW w:w="1910" w:type="dxa"/>
            <w:tcBorders>
              <w:bottom w:val="single" w:sz="6" w:space="0" w:color="2E74B5"/>
            </w:tcBorders>
            <w:shd w:val="clear" w:color="auto" w:fill="2E74B5"/>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490" w:type="dxa"/>
            <w:tcBorders>
              <w:bottom w:val="single" w:sz="6" w:space="0" w:color="2E74B5"/>
              <w:right w:val="single" w:sz="6" w:space="0" w:color="2E74B5"/>
            </w:tcBorders>
            <w:tcMar>
              <w:top w:w="75" w:type="dxa"/>
              <w:left w:w="75" w:type="dxa"/>
              <w:bottom w:w="75" w:type="dxa"/>
              <w:right w:w="75" w:type="dxa"/>
            </w:tcMar>
          </w:tcPr>
          <w:p w:rsidR="00F218A1" w:rsidRDefault="00000000">
            <w:pPr>
              <w:spacing w:after="0"/>
              <w:rPr>
                <w:sz w:val="20"/>
                <w:szCs w:val="20"/>
              </w:rPr>
            </w:pPr>
            <w:r>
              <w:rPr>
                <w:sz w:val="20"/>
                <w:szCs w:val="20"/>
              </w:rPr>
              <w:t>Prediction of good neurological outcome defined as Cerebral Performance Categories (CPC) on hospital discharge or 6 months after cardiac arrest</w:t>
            </w:r>
          </w:p>
        </w:tc>
      </w:tr>
      <w:tr w:rsidR="00F218A1">
        <w:tc>
          <w:tcPr>
            <w:tcW w:w="1910" w:type="dxa"/>
            <w:tcBorders>
              <w:bottom w:val="dotted" w:sz="4" w:space="0" w:color="000000"/>
            </w:tcBorders>
            <w:shd w:val="clear" w:color="auto" w:fill="2E74B5"/>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490" w:type="dxa"/>
            <w:tcBorders>
              <w:bottom w:val="single" w:sz="4" w:space="0" w:color="000000"/>
              <w:right w:val="single" w:sz="6" w:space="0" w:color="2E74B5"/>
            </w:tcBorders>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F218A1">
        <w:tc>
          <w:tcPr>
            <w:tcW w:w="1910" w:type="dxa"/>
            <w:tcBorders>
              <w:top w:val="dotted" w:sz="4" w:space="0" w:color="000000"/>
              <w:bottom w:val="single" w:sz="6" w:space="0" w:color="2E74B5"/>
            </w:tcBorders>
            <w:shd w:val="clear" w:color="auto" w:fill="2E74B5"/>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490" w:type="dxa"/>
            <w:tcBorders>
              <w:top w:val="single" w:sz="4" w:space="0" w:color="000000"/>
              <w:bottom w:val="single" w:sz="6" w:space="0" w:color="2E74B5"/>
              <w:right w:val="single" w:sz="6" w:space="0" w:color="2E74B5"/>
            </w:tcBorders>
            <w:tcMar>
              <w:top w:w="75" w:type="dxa"/>
              <w:left w:w="75" w:type="dxa"/>
              <w:bottom w:w="75" w:type="dxa"/>
              <w:right w:w="75" w:type="dxa"/>
            </w:tcMar>
          </w:tcPr>
          <w:p w:rsidR="00F218A1"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w:t>
            </w:r>
          </w:p>
          <w:p w:rsidR="00F218A1" w:rsidRDefault="00F218A1">
            <w:pPr>
              <w:pBdr>
                <w:top w:val="nil"/>
                <w:left w:val="nil"/>
                <w:bottom w:val="nil"/>
                <w:right w:val="nil"/>
                <w:between w:val="nil"/>
              </w:pBdr>
              <w:spacing w:after="0" w:line="240" w:lineRule="auto"/>
              <w:rPr>
                <w:color w:val="000000"/>
                <w:sz w:val="20"/>
                <w:szCs w:val="20"/>
              </w:rPr>
            </w:pPr>
          </w:p>
          <w:p w:rsidR="00F218A1"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The most recent search of this systematic review evidence update on </w:t>
            </w:r>
            <w:proofErr w:type="spellStart"/>
            <w:r>
              <w:rPr>
                <w:color w:val="000000"/>
                <w:sz w:val="20"/>
                <w:szCs w:val="20"/>
              </w:rPr>
              <w:t>neuroprognostication</w:t>
            </w:r>
            <w:proofErr w:type="spellEnd"/>
            <w:r>
              <w:rPr>
                <w:color w:val="000000"/>
                <w:sz w:val="20"/>
                <w:szCs w:val="20"/>
              </w:rPr>
              <w:t xml:space="preserve"> was launched in October 2022.</w:t>
            </w:r>
          </w:p>
        </w:tc>
      </w:tr>
    </w:tbl>
    <w:p w:rsidR="00F218A1"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Neurologic injury is the most common cause of death in patients with post cardiac arrest syndrome. Most of these deaths occur due to withdrawal of life-sustaining treatment (WLST) based on the prediction of poor neurological outcome. Neurological prognostication after cardiac arrest is of utmost importance to avoid futile treatments for unsalvageable patients but also to minimize the risk of falsely pessimistic prediction and self-fulfilling prophecy.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F218A1">
            <w:pPr>
              <w:rPr>
                <w:sz w:val="20"/>
                <w:szCs w:val="20"/>
              </w:rPr>
            </w:pP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Desirable Effects</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spacing w:after="0"/>
              <w:rPr>
                <w:sz w:val="20"/>
                <w:szCs w:val="20"/>
              </w:rPr>
            </w:pPr>
            <w:r>
              <w:rPr>
                <w:sz w:val="20"/>
                <w:szCs w:val="20"/>
              </w:rPr>
              <w:t>○ Trivial</w:t>
            </w:r>
            <w:r>
              <w:rPr>
                <w:sz w:val="20"/>
                <w:szCs w:val="20"/>
              </w:rPr>
              <w:br/>
              <w:t>● Small</w:t>
            </w:r>
          </w:p>
          <w:p w:rsidR="00F218A1" w:rsidRDefault="00000000">
            <w:pPr>
              <w:spacing w:after="0"/>
              <w:rPr>
                <w:sz w:val="20"/>
                <w:szCs w:val="20"/>
              </w:rPr>
            </w:pPr>
            <w:r>
              <w:rPr>
                <w:sz w:val="20"/>
                <w:szCs w:val="20"/>
              </w:rPr>
              <w:t>○ Moderate</w:t>
            </w:r>
            <w:r>
              <w:rPr>
                <w:sz w:val="20"/>
                <w:szCs w:val="20"/>
              </w:rPr>
              <w:br/>
              <w:t>○ Large</w:t>
            </w:r>
            <w:r>
              <w:rPr>
                <w:sz w:val="20"/>
                <w:szCs w:val="20"/>
              </w:rPr>
              <w:br/>
              <w:t>○ Varies</w:t>
            </w:r>
            <w:r>
              <w:rPr>
                <w:sz w:val="20"/>
                <w:szCs w:val="20"/>
              </w:rPr>
              <w:br/>
              <w:t>○ Don't know</w:t>
            </w:r>
            <w:r>
              <w:rPr>
                <w:sz w:val="20"/>
                <w:szCs w:val="20"/>
              </w:rPr>
              <w:br/>
            </w:r>
          </w:p>
          <w:p w:rsidR="00F218A1" w:rsidRDefault="00F218A1">
            <w:pPr>
              <w:rPr>
                <w:sz w:val="20"/>
                <w:szCs w:val="20"/>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spacing w:line="240" w:lineRule="auto"/>
              <w:rPr>
                <w:sz w:val="20"/>
                <w:szCs w:val="20"/>
              </w:rPr>
            </w:pPr>
            <w:r>
              <w:rPr>
                <w:sz w:val="20"/>
                <w:szCs w:val="20"/>
              </w:rPr>
              <w:t>Five studies [</w:t>
            </w:r>
            <w:proofErr w:type="spellStart"/>
            <w:r>
              <w:rPr>
                <w:sz w:val="20"/>
                <w:szCs w:val="20"/>
              </w:rPr>
              <w:t>Wennevirta</w:t>
            </w:r>
            <w:proofErr w:type="spellEnd"/>
            <w:r>
              <w:rPr>
                <w:sz w:val="20"/>
                <w:szCs w:val="20"/>
              </w:rPr>
              <w:t xml:space="preserve">, 2009; Jang, 2019; Oh, 2013; </w:t>
            </w:r>
            <w:proofErr w:type="spellStart"/>
            <w:r>
              <w:rPr>
                <w:sz w:val="20"/>
                <w:szCs w:val="20"/>
              </w:rPr>
              <w:t>Rundgren</w:t>
            </w:r>
            <w:proofErr w:type="spellEnd"/>
            <w:r>
              <w:rPr>
                <w:sz w:val="20"/>
                <w:szCs w:val="20"/>
              </w:rPr>
              <w:t xml:space="preserve">, 2010; </w:t>
            </w:r>
            <w:proofErr w:type="spellStart"/>
            <w:r>
              <w:rPr>
                <w:sz w:val="20"/>
                <w:szCs w:val="20"/>
              </w:rPr>
              <w:t>Eertmans</w:t>
            </w:r>
            <w:proofErr w:type="spellEnd"/>
            <w:r>
              <w:rPr>
                <w:sz w:val="20"/>
                <w:szCs w:val="20"/>
              </w:rPr>
              <w:t xml:space="preserve">, 2019] investigated the predictive value of a </w:t>
            </w:r>
            <w:r>
              <w:rPr>
                <w:b/>
                <w:sz w:val="20"/>
                <w:szCs w:val="20"/>
              </w:rPr>
              <w:t>continuous normal-voltage background</w:t>
            </w:r>
            <w:r>
              <w:rPr>
                <w:sz w:val="20"/>
                <w:szCs w:val="20"/>
              </w:rPr>
              <w:t xml:space="preserve"> defined from quantitative trend analysis using amplitude-integrated EEG (</w:t>
            </w:r>
            <w:proofErr w:type="spellStart"/>
            <w:r>
              <w:rPr>
                <w:b/>
                <w:sz w:val="20"/>
                <w:szCs w:val="20"/>
              </w:rPr>
              <w:t>aEEG</w:t>
            </w:r>
            <w:proofErr w:type="spellEnd"/>
            <w:r>
              <w:rPr>
                <w:sz w:val="20"/>
                <w:szCs w:val="20"/>
              </w:rPr>
              <w:t xml:space="preserve">) [Jang, 2019; Oh, 2013] or original </w:t>
            </w:r>
            <w:r>
              <w:rPr>
                <w:b/>
                <w:sz w:val="20"/>
                <w:szCs w:val="20"/>
              </w:rPr>
              <w:t xml:space="preserve">EEG with reduced electrode montages </w:t>
            </w:r>
            <w:r>
              <w:rPr>
                <w:sz w:val="20"/>
                <w:szCs w:val="20"/>
              </w:rPr>
              <w:t>[</w:t>
            </w:r>
            <w:proofErr w:type="spellStart"/>
            <w:r>
              <w:rPr>
                <w:sz w:val="20"/>
                <w:szCs w:val="20"/>
              </w:rPr>
              <w:t>Rundgren</w:t>
            </w:r>
            <w:proofErr w:type="spellEnd"/>
            <w:r>
              <w:rPr>
                <w:sz w:val="20"/>
                <w:szCs w:val="20"/>
              </w:rPr>
              <w:t xml:space="preserve">, 2010; </w:t>
            </w:r>
            <w:proofErr w:type="spellStart"/>
            <w:r>
              <w:rPr>
                <w:sz w:val="20"/>
                <w:szCs w:val="20"/>
              </w:rPr>
              <w:t>Wennewirta</w:t>
            </w:r>
            <w:proofErr w:type="spellEnd"/>
            <w:r>
              <w:rPr>
                <w:sz w:val="20"/>
                <w:szCs w:val="20"/>
              </w:rPr>
              <w:t xml:space="preserve">, 2009] at a time ranging from 6 to 72 h after ROSC. </w:t>
            </w:r>
          </w:p>
          <w:p w:rsidR="00F218A1" w:rsidRDefault="00000000">
            <w:pPr>
              <w:spacing w:line="240" w:lineRule="auto"/>
              <w:rPr>
                <w:sz w:val="20"/>
                <w:szCs w:val="20"/>
              </w:rPr>
            </w:pPr>
            <w:r>
              <w:rPr>
                <w:sz w:val="20"/>
                <w:szCs w:val="20"/>
              </w:rPr>
              <w:t>Two studies [</w:t>
            </w:r>
            <w:proofErr w:type="spellStart"/>
            <w:r>
              <w:rPr>
                <w:sz w:val="20"/>
                <w:szCs w:val="20"/>
              </w:rPr>
              <w:t>Rundgren</w:t>
            </w:r>
            <w:proofErr w:type="spellEnd"/>
            <w:r>
              <w:rPr>
                <w:sz w:val="20"/>
                <w:szCs w:val="20"/>
              </w:rPr>
              <w:t xml:space="preserve">, 2010; </w:t>
            </w:r>
            <w:proofErr w:type="spellStart"/>
            <w:r>
              <w:rPr>
                <w:sz w:val="20"/>
                <w:szCs w:val="20"/>
              </w:rPr>
              <w:t>Wennewirta</w:t>
            </w:r>
            <w:proofErr w:type="spellEnd"/>
            <w:r>
              <w:rPr>
                <w:sz w:val="20"/>
                <w:szCs w:val="20"/>
              </w:rPr>
              <w:t xml:space="preserve">, 2009] assessed reduced-montage EEG at two time-windows (within 24h and between 24 and 48h after ROSC) and favorable EEG pattern predicted good outcome at </w:t>
            </w:r>
            <w:r>
              <w:rPr>
                <w:b/>
                <w:sz w:val="20"/>
                <w:szCs w:val="20"/>
              </w:rPr>
              <w:t>earlier time window with specificity 56–96% (sensitivities 53–67%) and at later time-window with specificity of 67–79% (sensitivity 95%)</w:t>
            </w:r>
            <w:r>
              <w:rPr>
                <w:sz w:val="20"/>
                <w:szCs w:val="20"/>
              </w:rPr>
              <w:t>.</w:t>
            </w:r>
          </w:p>
          <w:p w:rsidR="00F218A1" w:rsidRDefault="00000000">
            <w:pPr>
              <w:spacing w:line="240" w:lineRule="auto"/>
              <w:rPr>
                <w:sz w:val="20"/>
                <w:szCs w:val="20"/>
              </w:rPr>
            </w:pPr>
            <w:r>
              <w:rPr>
                <w:sz w:val="20"/>
                <w:szCs w:val="20"/>
              </w:rPr>
              <w:t xml:space="preserve">Two studies [Jang, 2019; Oh, 2013] investigated </w:t>
            </w:r>
            <w:proofErr w:type="spellStart"/>
            <w:r>
              <w:rPr>
                <w:b/>
                <w:sz w:val="20"/>
                <w:szCs w:val="20"/>
              </w:rPr>
              <w:t>aEEG</w:t>
            </w:r>
            <w:proofErr w:type="spellEnd"/>
            <w:r>
              <w:rPr>
                <w:b/>
                <w:sz w:val="20"/>
                <w:szCs w:val="20"/>
              </w:rPr>
              <w:t xml:space="preserve"> within 72h after ROSC</w:t>
            </w:r>
            <w:r>
              <w:rPr>
                <w:sz w:val="20"/>
                <w:szCs w:val="20"/>
              </w:rPr>
              <w:t xml:space="preserve"> and specificity to predict good outcome </w:t>
            </w:r>
            <w:r>
              <w:rPr>
                <w:b/>
                <w:sz w:val="20"/>
                <w:szCs w:val="20"/>
              </w:rPr>
              <w:t>on hospital discharge</w:t>
            </w:r>
            <w:r>
              <w:rPr>
                <w:sz w:val="20"/>
                <w:szCs w:val="20"/>
              </w:rPr>
              <w:t xml:space="preserve"> [Oh, 2013] was </w:t>
            </w:r>
            <w:r>
              <w:rPr>
                <w:b/>
                <w:sz w:val="20"/>
                <w:szCs w:val="20"/>
              </w:rPr>
              <w:t>96% (sensitivity 57%)</w:t>
            </w:r>
            <w:r>
              <w:rPr>
                <w:sz w:val="20"/>
                <w:szCs w:val="20"/>
              </w:rPr>
              <w:t xml:space="preserve"> and </w:t>
            </w:r>
            <w:r>
              <w:rPr>
                <w:b/>
                <w:sz w:val="20"/>
                <w:szCs w:val="20"/>
              </w:rPr>
              <w:t>at 6 months</w:t>
            </w:r>
            <w:r>
              <w:rPr>
                <w:sz w:val="20"/>
                <w:szCs w:val="20"/>
              </w:rPr>
              <w:t xml:space="preserve"> [Jang, 2019] </w:t>
            </w:r>
            <w:r>
              <w:rPr>
                <w:b/>
                <w:sz w:val="20"/>
                <w:szCs w:val="20"/>
              </w:rPr>
              <w:t>85% (sensitivity 100%)</w:t>
            </w:r>
            <w:r>
              <w:rPr>
                <w:sz w:val="20"/>
                <w:szCs w:val="20"/>
              </w:rPr>
              <w:t>.</w:t>
            </w:r>
          </w:p>
          <w:p w:rsidR="00F218A1" w:rsidRDefault="00000000">
            <w:pPr>
              <w:spacing w:line="240" w:lineRule="auto"/>
              <w:rPr>
                <w:b/>
                <w:sz w:val="20"/>
                <w:szCs w:val="20"/>
              </w:rPr>
            </w:pPr>
            <w:r>
              <w:rPr>
                <w:sz w:val="20"/>
                <w:szCs w:val="20"/>
              </w:rPr>
              <w:t>One study [</w:t>
            </w:r>
            <w:proofErr w:type="spellStart"/>
            <w:r>
              <w:rPr>
                <w:sz w:val="20"/>
                <w:szCs w:val="20"/>
              </w:rPr>
              <w:t>Eertmans</w:t>
            </w:r>
            <w:proofErr w:type="spellEnd"/>
            <w:r>
              <w:rPr>
                <w:sz w:val="20"/>
                <w:szCs w:val="20"/>
              </w:rPr>
              <w:t xml:space="preserve">, 2019] analyzed the original EEG tracing of a </w:t>
            </w:r>
            <w:proofErr w:type="spellStart"/>
            <w:r>
              <w:rPr>
                <w:sz w:val="20"/>
                <w:szCs w:val="20"/>
              </w:rPr>
              <w:t>bispectral</w:t>
            </w:r>
            <w:proofErr w:type="spellEnd"/>
            <w:r>
              <w:rPr>
                <w:sz w:val="20"/>
                <w:szCs w:val="20"/>
              </w:rPr>
              <w:t xml:space="preserve"> index (BIS) monitor recorded between 6 and 48 h from ROSC from four frontotemporal channels. </w:t>
            </w:r>
            <w:r>
              <w:rPr>
                <w:b/>
                <w:sz w:val="20"/>
                <w:szCs w:val="20"/>
              </w:rPr>
              <w:t xml:space="preserve">A slow diffuse theta and/or delta activity, </w:t>
            </w:r>
            <w:r>
              <w:rPr>
                <w:sz w:val="20"/>
                <w:szCs w:val="20"/>
              </w:rPr>
              <w:t xml:space="preserve">as opposed to epileptiform, burst-suppression, or suppression (&lt;5 </w:t>
            </w:r>
            <w:proofErr w:type="spellStart"/>
            <w:r>
              <w:rPr>
                <w:sz w:val="20"/>
                <w:szCs w:val="20"/>
              </w:rPr>
              <w:t>μV</w:t>
            </w:r>
            <w:proofErr w:type="spellEnd"/>
            <w:r>
              <w:rPr>
                <w:sz w:val="20"/>
                <w:szCs w:val="20"/>
              </w:rPr>
              <w:t xml:space="preserve">), predicted good neurological outcome with </w:t>
            </w:r>
            <w:r>
              <w:rPr>
                <w:b/>
                <w:sz w:val="20"/>
                <w:szCs w:val="20"/>
              </w:rPr>
              <w:t>79% specificity at all time points, with 55%-86% sensitivity.</w:t>
            </w:r>
          </w:p>
          <w:p w:rsidR="00F218A1" w:rsidRDefault="00F218A1">
            <w:pPr>
              <w:pBdr>
                <w:top w:val="nil"/>
                <w:left w:val="nil"/>
                <w:bottom w:val="nil"/>
                <w:right w:val="nil"/>
                <w:between w:val="nil"/>
              </w:pBdr>
              <w:spacing w:line="240" w:lineRule="auto"/>
              <w:rPr>
                <w:color w:val="000000"/>
                <w:sz w:val="16"/>
                <w:szCs w:val="16"/>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18"/>
                <w:szCs w:val="18"/>
              </w:rPr>
            </w:pPr>
            <w:proofErr w:type="spellStart"/>
            <w:r>
              <w:rPr>
                <w:sz w:val="18"/>
                <w:szCs w:val="18"/>
              </w:rPr>
              <w:t>aEEG</w:t>
            </w:r>
            <w:proofErr w:type="spellEnd"/>
            <w:r>
              <w:rPr>
                <w:sz w:val="18"/>
                <w:szCs w:val="18"/>
              </w:rPr>
              <w:t xml:space="preserve"> results report voltage and continuity, but do not directly enable a morphological assessment of the original EEG signals making the identification of superimposed activity difficult unless the original EEG channels are also displayed. In one study [Oh, 2013] original EEG was reviewed to exclude </w:t>
            </w:r>
            <w:proofErr w:type="spellStart"/>
            <w:r>
              <w:rPr>
                <w:sz w:val="18"/>
                <w:szCs w:val="18"/>
              </w:rPr>
              <w:t>epileptical</w:t>
            </w:r>
            <w:proofErr w:type="spellEnd"/>
            <w:r>
              <w:rPr>
                <w:sz w:val="18"/>
                <w:szCs w:val="18"/>
              </w:rPr>
              <w:t xml:space="preserve"> discharges. </w:t>
            </w: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F218A1">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spacing w:after="0"/>
              <w:rPr>
                <w:sz w:val="20"/>
                <w:szCs w:val="20"/>
              </w:rPr>
            </w:pPr>
            <w:r>
              <w:rPr>
                <w:sz w:val="20"/>
                <w:szCs w:val="20"/>
              </w:rPr>
              <w:t>○ Large</w:t>
            </w:r>
            <w:r>
              <w:rPr>
                <w:sz w:val="20"/>
                <w:szCs w:val="20"/>
              </w:rPr>
              <w:br/>
              <w:t>○ Moderate</w:t>
            </w:r>
            <w:r>
              <w:rPr>
                <w:sz w:val="20"/>
                <w:szCs w:val="20"/>
              </w:rPr>
              <w:br/>
              <w:t>○ Small</w:t>
            </w:r>
            <w:r>
              <w:rPr>
                <w:sz w:val="20"/>
                <w:szCs w:val="20"/>
              </w:rPr>
              <w:br/>
              <w:t>○ Trivial</w:t>
            </w:r>
            <w:r>
              <w:rPr>
                <w:sz w:val="20"/>
                <w:szCs w:val="20"/>
              </w:rPr>
              <w:br/>
              <w:t>○ Varies </w:t>
            </w:r>
          </w:p>
          <w:p w:rsidR="00F218A1" w:rsidRDefault="00000000">
            <w:pPr>
              <w:rPr>
                <w:sz w:val="20"/>
                <w:szCs w:val="20"/>
              </w:rPr>
            </w:pPr>
            <w:r>
              <w:rPr>
                <w:sz w:val="20"/>
                <w:szCs w:val="20"/>
              </w:rP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None known.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A falsely optimistic prediction in a patient with poor neurological outcome may potentially lead to the delivery of futile care.</w:t>
            </w: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lastRenderedPageBreak/>
              <w:t>What is the overall certainty of the evidence of effects?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F218A1">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Very low</w:t>
            </w:r>
            <w:r>
              <w:rPr>
                <w:sz w:val="20"/>
                <w:szCs w:val="20"/>
              </w:rPr>
              <w:br/>
              <w:t>○ Low</w:t>
            </w:r>
            <w:r>
              <w:rPr>
                <w:sz w:val="20"/>
                <w:szCs w:val="20"/>
              </w:rPr>
              <w:b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xml:space="preserve">The certainty of evidence about favorable </w:t>
            </w:r>
            <w:proofErr w:type="spellStart"/>
            <w:r>
              <w:rPr>
                <w:sz w:val="20"/>
                <w:szCs w:val="20"/>
              </w:rPr>
              <w:t>aEEG</w:t>
            </w:r>
            <w:proofErr w:type="spellEnd"/>
            <w:r>
              <w:rPr>
                <w:sz w:val="20"/>
                <w:szCs w:val="20"/>
              </w:rPr>
              <w:t xml:space="preserve"> or reduced-montage EEG is very low because of bias (mainly due to lack of blinding) and imprecision.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18"/>
                <w:szCs w:val="18"/>
              </w:rPr>
            </w:pPr>
            <w:r>
              <w:rPr>
                <w:sz w:val="18"/>
                <w:szCs w:val="18"/>
              </w:rPr>
              <w:t xml:space="preserve">Strengths of </w:t>
            </w:r>
            <w:proofErr w:type="spellStart"/>
            <w:r>
              <w:rPr>
                <w:sz w:val="18"/>
                <w:szCs w:val="18"/>
              </w:rPr>
              <w:t>aEEG</w:t>
            </w:r>
            <w:proofErr w:type="spellEnd"/>
            <w:r>
              <w:rPr>
                <w:sz w:val="18"/>
                <w:szCs w:val="18"/>
              </w:rPr>
              <w:t xml:space="preserve"> include bedside investigation, wide availability, and non-invasiveness. </w:t>
            </w:r>
            <w:proofErr w:type="spellStart"/>
            <w:r>
              <w:rPr>
                <w:sz w:val="18"/>
                <w:szCs w:val="18"/>
              </w:rPr>
              <w:t>aEEG</w:t>
            </w:r>
            <w:proofErr w:type="spellEnd"/>
            <w:r>
              <w:rPr>
                <w:sz w:val="18"/>
                <w:szCs w:val="18"/>
              </w:rPr>
              <w:t xml:space="preserve"> provides a real-time investigation of electrical brain activity. </w:t>
            </w:r>
            <w:proofErr w:type="spellStart"/>
            <w:r>
              <w:rPr>
                <w:sz w:val="18"/>
                <w:szCs w:val="18"/>
              </w:rPr>
              <w:t>aEEG</w:t>
            </w:r>
            <w:proofErr w:type="spellEnd"/>
            <w:r>
              <w:rPr>
                <w:sz w:val="18"/>
                <w:szCs w:val="18"/>
              </w:rPr>
              <w:t xml:space="preserve"> enables non-s-specialists to </w:t>
            </w:r>
            <w:proofErr w:type="spellStart"/>
            <w:r>
              <w:rPr>
                <w:sz w:val="18"/>
                <w:szCs w:val="18"/>
              </w:rPr>
              <w:t>intepret</w:t>
            </w:r>
            <w:proofErr w:type="spellEnd"/>
            <w:r>
              <w:rPr>
                <w:sz w:val="18"/>
                <w:szCs w:val="18"/>
              </w:rPr>
              <w:t xml:space="preserve"> EEG</w:t>
            </w:r>
          </w:p>
          <w:p w:rsidR="00F218A1" w:rsidRDefault="00F218A1">
            <w:pPr>
              <w:rPr>
                <w:sz w:val="20"/>
                <w:szCs w:val="20"/>
              </w:rPr>
            </w:pP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F218A1">
        <w:trPr>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t>○ No important uncertainty or variability</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tabs>
                <w:tab w:val="left" w:pos="7785"/>
              </w:tabs>
              <w:rPr>
                <w:sz w:val="20"/>
                <w:szCs w:val="20"/>
              </w:rPr>
            </w:pPr>
            <w:r>
              <w:rPr>
                <w:sz w:val="20"/>
                <w:szCs w:val="20"/>
              </w:rPr>
              <w:t>Most studies define good outcome as CPC scores 1–2</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F218A1">
            <w:pPr>
              <w:rPr>
                <w:sz w:val="20"/>
                <w:szCs w:val="20"/>
              </w:rPr>
            </w:pP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Balance of effects</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t>Does the balance between desirable and undesirable effects favor the intervention or the comparison?</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218A1">
        <w:trPr>
          <w:trHeight w:val="21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spacing w:after="0"/>
              <w:rPr>
                <w:sz w:val="20"/>
                <w:szCs w:val="20"/>
              </w:rPr>
            </w:pPr>
            <w:r>
              <w:rPr>
                <w:sz w:val="20"/>
                <w:szCs w:val="20"/>
              </w:rPr>
              <w:lastRenderedPageBreak/>
              <w:t>○ Favors the comparison</w:t>
            </w:r>
            <w:r>
              <w:rPr>
                <w:sz w:val="20"/>
                <w:szCs w:val="20"/>
              </w:rPr>
              <w:br/>
              <w:t>○ Probably favors the comparison</w:t>
            </w:r>
            <w:r>
              <w:rPr>
                <w:sz w:val="20"/>
                <w:szCs w:val="20"/>
              </w:rPr>
              <w:br/>
            </w:r>
            <w:proofErr w:type="gramStart"/>
            <w:r>
              <w:rPr>
                <w:sz w:val="20"/>
                <w:szCs w:val="20"/>
              </w:rPr>
              <w:t>●  Does</w:t>
            </w:r>
            <w:proofErr w:type="gramEnd"/>
            <w:r>
              <w:rPr>
                <w:sz w:val="20"/>
                <w:szCs w:val="20"/>
              </w:rPr>
              <w:t xml:space="preserve">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F218A1">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xml:space="preserve">The main disadvantage of </w:t>
            </w:r>
            <w:proofErr w:type="spellStart"/>
            <w:r>
              <w:rPr>
                <w:sz w:val="20"/>
                <w:szCs w:val="20"/>
              </w:rPr>
              <w:t>aEEG</w:t>
            </w:r>
            <w:proofErr w:type="spellEnd"/>
            <w:r>
              <w:rPr>
                <w:sz w:val="20"/>
                <w:szCs w:val="20"/>
              </w:rPr>
              <w:t xml:space="preserve"> is the limited access to the raw EEG’s morphology.</w:t>
            </w:r>
            <w:r>
              <w:rPr>
                <w:sz w:val="20"/>
                <w:szCs w:val="20"/>
              </w:rPr>
              <w:br/>
            </w: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218A1">
        <w:trPr>
          <w:trHeight w:val="192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spacing w:after="0"/>
              <w:rPr>
                <w:sz w:val="20"/>
                <w:szCs w:val="20"/>
              </w:rPr>
            </w:pPr>
            <w:r>
              <w:rPr>
                <w:sz w:val="20"/>
                <w:szCs w:val="20"/>
              </w:rPr>
              <w:t>○ Large costs</w:t>
            </w:r>
            <w:r>
              <w:rPr>
                <w:sz w:val="20"/>
                <w:szCs w:val="20"/>
              </w:rPr>
              <w:br/>
              <w:t>○ Moderate costs</w:t>
            </w:r>
            <w:r>
              <w:rPr>
                <w:sz w:val="20"/>
                <w:szCs w:val="20"/>
              </w:rPr>
              <w:br/>
              <w:t>○ Negligible costs and savings</w:t>
            </w:r>
            <w:r>
              <w:rPr>
                <w:sz w:val="20"/>
                <w:szCs w:val="20"/>
              </w:rPr>
              <w:br/>
              <w:t>○ Moderate savings</w:t>
            </w:r>
            <w:r>
              <w:rPr>
                <w:sz w:val="20"/>
                <w:szCs w:val="20"/>
              </w:rPr>
              <w:br/>
              <w:t>○ Large savings</w:t>
            </w:r>
            <w:r>
              <w:rPr>
                <w:sz w:val="20"/>
                <w:szCs w:val="20"/>
              </w:rPr>
              <w:br/>
              <w:t>○ Varies </w:t>
            </w:r>
          </w:p>
          <w:p w:rsidR="00F218A1" w:rsidRDefault="00000000">
            <w:pPr>
              <w:spacing w:after="0"/>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We did not include any specific studies. However, specific e</w:t>
            </w:r>
            <w:r>
              <w:t>quipment is</w:t>
            </w:r>
            <w:r>
              <w:rPr>
                <w:sz w:val="20"/>
                <w:szCs w:val="20"/>
              </w:rPr>
              <w:t xml:space="preserve"> required for assessing </w:t>
            </w:r>
            <w:proofErr w:type="spellStart"/>
            <w:r>
              <w:rPr>
                <w:sz w:val="20"/>
                <w:szCs w:val="20"/>
              </w:rPr>
              <w:t>aEEG</w:t>
            </w:r>
            <w:proofErr w:type="spellEnd"/>
            <w:r>
              <w:rPr>
                <w:sz w:val="20"/>
                <w:szCs w:val="20"/>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F218A1">
            <w:pPr>
              <w:rPr>
                <w:sz w:val="20"/>
                <w:szCs w:val="20"/>
              </w:rPr>
            </w:pP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218A1">
        <w:trPr>
          <w:trHeight w:val="7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18"/>
                <w:szCs w:val="18"/>
              </w:rPr>
            </w:pPr>
            <w:r>
              <w:rPr>
                <w:sz w:val="18"/>
                <w:szCs w:val="18"/>
              </w:rPr>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xml:space="preserve">We did not identify any studies specifically assessing costs of </w:t>
            </w:r>
            <w:proofErr w:type="spellStart"/>
            <w:r>
              <w:rPr>
                <w:sz w:val="20"/>
                <w:szCs w:val="20"/>
              </w:rPr>
              <w:t>aEEGs</w:t>
            </w:r>
            <w:proofErr w:type="spellEnd"/>
            <w:r>
              <w:rPr>
                <w:sz w:val="20"/>
                <w:szCs w:val="20"/>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18"/>
                <w:szCs w:val="18"/>
              </w:rPr>
            </w:pPr>
            <w:r>
              <w:rPr>
                <w:sz w:val="18"/>
                <w:szCs w:val="18"/>
              </w:rPr>
              <w:br/>
            </w: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F218A1" w:rsidRDefault="00000000">
            <w:pPr>
              <w:pBdr>
                <w:top w:val="nil"/>
                <w:left w:val="nil"/>
                <w:bottom w:val="nil"/>
                <w:right w:val="nil"/>
                <w:between w:val="nil"/>
              </w:pBdr>
              <w:spacing w:after="0" w:line="240" w:lineRule="auto"/>
              <w:rPr>
                <w:color w:val="FFFFFF"/>
                <w:sz w:val="16"/>
                <w:szCs w:val="16"/>
              </w:rPr>
            </w:pPr>
            <w:r>
              <w:rPr>
                <w:color w:val="FFFFFF"/>
                <w:sz w:val="16"/>
                <w:szCs w:val="16"/>
              </w:rPr>
              <w:t>Does the cost-effectiveness of the intervention favor the intervention or the comparison?</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218A1">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spacing w:after="0"/>
              <w:rPr>
                <w:sz w:val="20"/>
                <w:szCs w:val="20"/>
              </w:rPr>
            </w:pPr>
            <w:r>
              <w:rPr>
                <w:sz w:val="20"/>
                <w:szCs w:val="20"/>
              </w:rPr>
              <w:t>○ Favors the comparison</w:t>
            </w:r>
            <w:r>
              <w:rPr>
                <w:sz w:val="20"/>
                <w:szCs w:val="20"/>
              </w:rPr>
              <w:br/>
              <w:t>○ Probably favors the comparison</w:t>
            </w:r>
            <w:r>
              <w:rPr>
                <w:sz w:val="20"/>
                <w:szCs w:val="20"/>
              </w:rPr>
              <w:br/>
            </w:r>
            <w:r>
              <w:rPr>
                <w:sz w:val="20"/>
                <w:szCs w:val="20"/>
              </w:rPr>
              <w:lastRenderedPageBreak/>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lastRenderedPageBreak/>
              <w:t xml:space="preserve">We did not identify any studies addressing cost-effectiveness of </w:t>
            </w:r>
            <w:proofErr w:type="spellStart"/>
            <w:r>
              <w:rPr>
                <w:sz w:val="20"/>
                <w:szCs w:val="20"/>
              </w:rPr>
              <w:t>aEEGs</w:t>
            </w:r>
            <w:proofErr w:type="spellEnd"/>
            <w:r>
              <w:rPr>
                <w:sz w:val="20"/>
                <w:szCs w:val="20"/>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18"/>
                <w:szCs w:val="18"/>
              </w:rPr>
            </w:pPr>
            <w:r>
              <w:rPr>
                <w:sz w:val="18"/>
                <w:szCs w:val="18"/>
              </w:rPr>
              <w:br/>
            </w: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Equity</w:t>
            </w:r>
          </w:p>
          <w:p w:rsidR="00F218A1" w:rsidRDefault="00000000">
            <w:pPr>
              <w:pBdr>
                <w:top w:val="nil"/>
                <w:left w:val="nil"/>
                <w:bottom w:val="nil"/>
                <w:right w:val="nil"/>
                <w:between w:val="nil"/>
              </w:pBdr>
              <w:spacing w:after="0" w:line="240" w:lineRule="auto"/>
              <w:rPr>
                <w:color w:val="FFFFFF"/>
                <w:sz w:val="20"/>
                <w:szCs w:val="20"/>
              </w:rPr>
            </w:pPr>
            <w:r>
              <w:rPr>
                <w:color w:val="FFFFFF"/>
                <w:sz w:val="20"/>
                <w:szCs w:val="20"/>
              </w:rPr>
              <w:t>What would be the impact on health equity?</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218A1">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spacing w:after="0"/>
              <w:rPr>
                <w:sz w:val="20"/>
                <w:szCs w:val="20"/>
              </w:rPr>
            </w:pPr>
            <w:r>
              <w:rPr>
                <w:sz w:val="20"/>
                <w:szCs w:val="20"/>
              </w:rPr>
              <w:t>○ Reduced</w:t>
            </w:r>
            <w:r>
              <w:rPr>
                <w:sz w:val="20"/>
                <w:szCs w:val="20"/>
              </w:rPr>
              <w:br/>
              <w:t>● Probably reduced</w:t>
            </w:r>
            <w:r>
              <w:rPr>
                <w:sz w:val="20"/>
                <w:szCs w:val="20"/>
              </w:rPr>
              <w:br/>
              <w:t>○ Probably no impact</w:t>
            </w:r>
            <w:r>
              <w:rPr>
                <w:sz w:val="20"/>
                <w:szCs w:val="20"/>
              </w:rPr>
              <w:br/>
              <w:t>○ Probably increased</w:t>
            </w:r>
            <w:r>
              <w:rPr>
                <w:sz w:val="20"/>
                <w:szCs w:val="20"/>
              </w:rPr>
              <w:br/>
              <w:t>○ Increased</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xml:space="preserve">The specific equipment and skills needed to assess </w:t>
            </w:r>
            <w:proofErr w:type="spellStart"/>
            <w:r>
              <w:rPr>
                <w:sz w:val="20"/>
                <w:szCs w:val="20"/>
              </w:rPr>
              <w:t>aEEGs</w:t>
            </w:r>
            <w:proofErr w:type="spellEnd"/>
            <w:r>
              <w:rPr>
                <w:sz w:val="20"/>
                <w:szCs w:val="20"/>
              </w:rPr>
              <w:t xml:space="preserve"> are not available everywhere. This can create a problem in terms of equity.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18"/>
                <w:szCs w:val="18"/>
              </w:rPr>
            </w:pPr>
            <w:r>
              <w:rPr>
                <w:sz w:val="18"/>
                <w:szCs w:val="18"/>
              </w:rPr>
              <w:br/>
            </w: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Acceptability</w:t>
            </w:r>
          </w:p>
          <w:p w:rsidR="00F218A1"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acceptable to key stakeholders?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218A1">
        <w:trPr>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xml:space="preserve">We have not identified any research that assessed acceptability of </w:t>
            </w:r>
            <w:proofErr w:type="spellStart"/>
            <w:r>
              <w:rPr>
                <w:sz w:val="20"/>
                <w:szCs w:val="20"/>
              </w:rPr>
              <w:t>aEEGs</w:t>
            </w:r>
            <w:proofErr w:type="spellEnd"/>
            <w:r>
              <w:rPr>
                <w:sz w:val="20"/>
                <w:szCs w:val="20"/>
              </w:rPr>
              <w:t>. However, acceptability is likely.</w:t>
            </w:r>
          </w:p>
          <w:p w:rsidR="00F218A1" w:rsidRDefault="00F218A1">
            <w:pPr>
              <w:rPr>
                <w:sz w:val="20"/>
                <w:szCs w:val="20"/>
              </w:rPr>
            </w:pPr>
          </w:p>
          <w:p w:rsidR="00F218A1" w:rsidRDefault="00F218A1">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F218A1">
            <w:pPr>
              <w:rPr>
                <w:sz w:val="18"/>
                <w:szCs w:val="18"/>
              </w:rPr>
            </w:pPr>
          </w:p>
        </w:tc>
      </w:tr>
      <w:tr w:rsidR="00F218A1">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Feasibility</w:t>
            </w:r>
          </w:p>
          <w:p w:rsidR="00F218A1"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feasible to implement?</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218A1">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r>
            <w:r>
              <w:rPr>
                <w:sz w:val="20"/>
                <w:szCs w:val="20"/>
              </w:rPr>
              <w:lastRenderedPageBreak/>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sz w:val="20"/>
                <w:szCs w:val="20"/>
              </w:rPr>
            </w:pPr>
            <w:r>
              <w:rPr>
                <w:sz w:val="20"/>
                <w:szCs w:val="20"/>
              </w:rPr>
              <w:lastRenderedPageBreak/>
              <w:t xml:space="preserve">The equipment and skills required for their assessment may represent an obstacle for their implementation. </w:t>
            </w:r>
          </w:p>
          <w:p w:rsidR="00F218A1" w:rsidRDefault="00F218A1">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8A1" w:rsidRDefault="00000000">
            <w:pPr>
              <w:rPr>
                <w:color w:val="FF0000"/>
                <w:sz w:val="18"/>
                <w:szCs w:val="18"/>
              </w:rPr>
            </w:pPr>
            <w:r>
              <w:rPr>
                <w:sz w:val="18"/>
                <w:szCs w:val="18"/>
              </w:rPr>
              <w:lastRenderedPageBreak/>
              <w:br/>
            </w:r>
            <w:proofErr w:type="spellStart"/>
            <w:r>
              <w:rPr>
                <w:sz w:val="20"/>
                <w:szCs w:val="20"/>
              </w:rPr>
              <w:t>Intepretation</w:t>
            </w:r>
            <w:proofErr w:type="spellEnd"/>
            <w:r>
              <w:rPr>
                <w:sz w:val="20"/>
                <w:szCs w:val="20"/>
              </w:rPr>
              <w:t xml:space="preserve"> of </w:t>
            </w:r>
            <w:proofErr w:type="spellStart"/>
            <w:r>
              <w:rPr>
                <w:sz w:val="20"/>
                <w:szCs w:val="20"/>
              </w:rPr>
              <w:t>aEEG</w:t>
            </w:r>
            <w:proofErr w:type="spellEnd"/>
            <w:r>
              <w:rPr>
                <w:sz w:val="20"/>
                <w:szCs w:val="20"/>
              </w:rPr>
              <w:t xml:space="preserve"> does not require a specialist </w:t>
            </w:r>
            <w:r>
              <w:rPr>
                <w:sz w:val="20"/>
                <w:szCs w:val="20"/>
              </w:rPr>
              <w:lastRenderedPageBreak/>
              <w:t>(compared to full montage EEG)</w:t>
            </w:r>
          </w:p>
        </w:tc>
      </w:tr>
    </w:tbl>
    <w:p w:rsidR="00F218A1" w:rsidRDefault="00F218A1">
      <w:pPr>
        <w:pStyle w:val="Heading1"/>
        <w:spacing w:before="280" w:after="20"/>
        <w:rPr>
          <w:rFonts w:ascii="Calibri" w:hAnsi="Calibri" w:cs="Calibri"/>
          <w:smallCaps/>
          <w:color w:val="000000"/>
          <w:sz w:val="30"/>
          <w:szCs w:val="30"/>
        </w:rPr>
      </w:pPr>
    </w:p>
    <w:p w:rsidR="00F218A1"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SUMMARY OF JUDGEMENTS</w:t>
      </w:r>
    </w:p>
    <w:tbl>
      <w:tblPr>
        <w:tblStyle w:val="a1"/>
        <w:tblW w:w="14391" w:type="dxa"/>
        <w:tblLayout w:type="fixed"/>
        <w:tblLook w:val="0400" w:firstRow="0" w:lastRow="0" w:firstColumn="0" w:lastColumn="0" w:noHBand="0" w:noVBand="1"/>
      </w:tblPr>
      <w:tblGrid>
        <w:gridCol w:w="2349"/>
        <w:gridCol w:w="1725"/>
        <w:gridCol w:w="1725"/>
        <w:gridCol w:w="1767"/>
        <w:gridCol w:w="1733"/>
        <w:gridCol w:w="1733"/>
        <w:gridCol w:w="1646"/>
        <w:gridCol w:w="1713"/>
      </w:tblGrid>
      <w:tr w:rsidR="00F218A1">
        <w:trPr>
          <w:tblHeader/>
        </w:trPr>
        <w:tc>
          <w:tcPr>
            <w:tcW w:w="2350" w:type="dxa"/>
            <w:tcMar>
              <w:top w:w="75" w:type="dxa"/>
              <w:left w:w="75" w:type="dxa"/>
              <w:bottom w:w="75" w:type="dxa"/>
              <w:right w:w="75" w:type="dxa"/>
            </w:tcMar>
            <w:vAlign w:val="center"/>
          </w:tcPr>
          <w:p w:rsidR="00F218A1" w:rsidRDefault="00F218A1">
            <w:pPr>
              <w:rPr>
                <w:smallCaps/>
                <w:color w:val="000000"/>
                <w:sz w:val="30"/>
                <w:szCs w:val="30"/>
              </w:rPr>
            </w:pPr>
          </w:p>
        </w:tc>
        <w:tc>
          <w:tcPr>
            <w:tcW w:w="12042"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rPr>
                <w:b/>
                <w:color w:val="000000"/>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000000"/>
                <w:sz w:val="16"/>
                <w:szCs w:val="16"/>
              </w:rPr>
            </w:pPr>
            <w:r>
              <w:rPr>
                <w:color w:val="BFBFBF"/>
                <w:sz w:val="16"/>
                <w:szCs w:val="16"/>
              </w:rPr>
              <w:t>Trivial</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Small</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Large</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Moderate</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Small</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Trivial</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Don't know</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Very low</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Important uncertainty or variability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Possibly important uncertainty or variability</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no important uncertainty or variability</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important uncertainty or variability</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spacing w:after="0"/>
              <w:rPr>
                <w:sz w:val="20"/>
                <w:szCs w:val="20"/>
              </w:rPr>
            </w:pP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Favors the comparison</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Probably favors the comparison</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A6A6A6"/>
                <w:sz w:val="16"/>
                <w:szCs w:val="16"/>
              </w:rPr>
            </w:pPr>
            <w:r>
              <w:rPr>
                <w:b/>
                <w:color w:val="000000"/>
                <w:sz w:val="16"/>
                <w:szCs w:val="16"/>
              </w:rPr>
              <w:t>Does not favor either the intervention or the comparison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Probably favors the intervention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Favors the intervention</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Don't know</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Don't know</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comparison</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comparison</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Does not favor either the intervention or the comparison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intervention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intervention</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EQUITY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reduced</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Probably no impact</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Don't know</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ACCEPTABILITY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F218A1">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218A1"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lastRenderedPageBreak/>
              <w:t>FEASIBILITY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218A1" w:rsidRDefault="00F218A1">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18A1"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rsidR="00F218A1" w:rsidRDefault="00F218A1">
      <w:pPr>
        <w:rPr>
          <w:color w:val="000000"/>
          <w:sz w:val="16"/>
          <w:szCs w:val="16"/>
        </w:rPr>
      </w:pPr>
    </w:p>
    <w:p w:rsidR="00F218A1"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F218A1">
        <w:tc>
          <w:tcPr>
            <w:tcW w:w="2876" w:type="dxa"/>
            <w:tcMar>
              <w:top w:w="75" w:type="dxa"/>
              <w:left w:w="0" w:type="dxa"/>
              <w:bottom w:w="0" w:type="dxa"/>
              <w:right w:w="0" w:type="dxa"/>
            </w:tcMar>
          </w:tcPr>
          <w:p w:rsidR="00F218A1"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F218A1"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F218A1"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F218A1"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F218A1"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F218A1">
        <w:trPr>
          <w:trHeight w:val="146"/>
        </w:trPr>
        <w:tc>
          <w:tcPr>
            <w:tcW w:w="2876" w:type="dxa"/>
            <w:tcMar>
              <w:top w:w="0" w:type="dxa"/>
              <w:left w:w="0" w:type="dxa"/>
              <w:bottom w:w="75" w:type="dxa"/>
              <w:right w:w="0" w:type="dxa"/>
            </w:tcMar>
          </w:tcPr>
          <w:p w:rsidR="00F218A1"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F218A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color w:val="000000"/>
                <w:sz w:val="24"/>
                <w:szCs w:val="24"/>
              </w:rPr>
              <w:t>○</w:t>
            </w:r>
          </w:p>
        </w:tc>
        <w:tc>
          <w:tcPr>
            <w:tcW w:w="2877" w:type="dxa"/>
            <w:tcMar>
              <w:top w:w="0" w:type="dxa"/>
              <w:left w:w="0" w:type="dxa"/>
              <w:bottom w:w="75" w:type="dxa"/>
              <w:right w:w="0" w:type="dxa"/>
            </w:tcMar>
          </w:tcPr>
          <w:p w:rsidR="00F218A1"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F218A1"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F218A1"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F218A1" w:rsidRDefault="00F218A1">
      <w:pPr>
        <w:rPr>
          <w:color w:val="000000"/>
          <w:sz w:val="16"/>
          <w:szCs w:val="16"/>
        </w:rPr>
      </w:pPr>
    </w:p>
    <w:p w:rsidR="00F218A1"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CONCLUSIONS</w:t>
      </w:r>
    </w:p>
    <w:tbl>
      <w:tblPr>
        <w:tblStyle w:val="a3"/>
        <w:tblW w:w="14400" w:type="dxa"/>
        <w:tblLayout w:type="fixed"/>
        <w:tblLook w:val="0400" w:firstRow="0" w:lastRow="0" w:firstColumn="0" w:lastColumn="0" w:noHBand="0" w:noVBand="1"/>
      </w:tblPr>
      <w:tblGrid>
        <w:gridCol w:w="14400"/>
      </w:tblGrid>
      <w:tr w:rsidR="00F218A1">
        <w:tc>
          <w:tcPr>
            <w:tcW w:w="14400" w:type="dxa"/>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Recommendations</w:t>
            </w:r>
          </w:p>
        </w:tc>
      </w:tr>
      <w:tr w:rsidR="00F218A1">
        <w:trPr>
          <w:trHeight w:val="1080"/>
        </w:trPr>
        <w:tc>
          <w:tcPr>
            <w:tcW w:w="14400" w:type="dxa"/>
            <w:tcMar>
              <w:top w:w="75" w:type="dxa"/>
              <w:left w:w="75" w:type="dxa"/>
              <w:bottom w:w="75" w:type="dxa"/>
              <w:right w:w="75" w:type="dxa"/>
            </w:tcMar>
          </w:tcPr>
          <w:p w:rsidR="00F218A1" w:rsidRDefault="00000000">
            <w:pPr>
              <w:spacing w:after="0" w:line="240" w:lineRule="auto"/>
              <w:rPr>
                <w:b/>
                <w:sz w:val="20"/>
                <w:szCs w:val="20"/>
              </w:rPr>
            </w:pPr>
            <w:r>
              <w:rPr>
                <w:sz w:val="20"/>
                <w:szCs w:val="20"/>
              </w:rPr>
              <w:t>We suggest against the use of other EEG metrics, including reduced montage or amplitude integrated EEG, BIS, or EEG-derived indices, to predict good outcome in patients who are comatose after cardiac arrest.</w:t>
            </w:r>
          </w:p>
        </w:tc>
      </w:tr>
      <w:tr w:rsidR="00F218A1">
        <w:tc>
          <w:tcPr>
            <w:tcW w:w="14400" w:type="dxa"/>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F218A1">
        <w:trPr>
          <w:trHeight w:val="1080"/>
        </w:trPr>
        <w:tc>
          <w:tcPr>
            <w:tcW w:w="14400" w:type="dxa"/>
            <w:tcMar>
              <w:top w:w="75" w:type="dxa"/>
              <w:left w:w="75" w:type="dxa"/>
              <w:bottom w:w="75" w:type="dxa"/>
              <w:right w:w="75" w:type="dxa"/>
            </w:tcMar>
          </w:tcPr>
          <w:p w:rsidR="00F218A1" w:rsidRDefault="00000000">
            <w:pPr>
              <w:rPr>
                <w:sz w:val="20"/>
                <w:szCs w:val="20"/>
              </w:rPr>
            </w:pPr>
            <w:r>
              <w:rPr>
                <w:sz w:val="20"/>
                <w:szCs w:val="20"/>
              </w:rPr>
              <w:t xml:space="preserve"> In recommending against using amplitude-integrated EEG, the panel considered that these techniques do not allow or allow only a limited morphological assessment of the original EEG signal. Moreover, the evidence was limited to few studies.</w:t>
            </w:r>
          </w:p>
        </w:tc>
      </w:tr>
      <w:tr w:rsidR="00F218A1">
        <w:tc>
          <w:tcPr>
            <w:tcW w:w="14400" w:type="dxa"/>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F218A1">
        <w:trPr>
          <w:trHeight w:val="647"/>
        </w:trPr>
        <w:tc>
          <w:tcPr>
            <w:tcW w:w="14400" w:type="dxa"/>
            <w:tcMar>
              <w:top w:w="75" w:type="dxa"/>
              <w:left w:w="75" w:type="dxa"/>
              <w:bottom w:w="75" w:type="dxa"/>
              <w:right w:w="75" w:type="dxa"/>
            </w:tcMar>
          </w:tcPr>
          <w:p w:rsidR="00F218A1" w:rsidRDefault="00F218A1">
            <w:pPr>
              <w:rPr>
                <w:sz w:val="20"/>
                <w:szCs w:val="20"/>
              </w:rPr>
            </w:pPr>
          </w:p>
        </w:tc>
      </w:tr>
      <w:tr w:rsidR="00F218A1">
        <w:tc>
          <w:tcPr>
            <w:tcW w:w="14400" w:type="dxa"/>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F218A1" w:rsidRDefault="00F218A1">
      <w:pPr>
        <w:widowControl w:val="0"/>
        <w:pBdr>
          <w:top w:val="nil"/>
          <w:left w:val="nil"/>
          <w:bottom w:val="nil"/>
          <w:right w:val="nil"/>
          <w:between w:val="nil"/>
        </w:pBdr>
        <w:spacing w:after="0" w:line="276" w:lineRule="auto"/>
        <w:rPr>
          <w:color w:val="FFFFFF"/>
          <w:sz w:val="26"/>
          <w:szCs w:val="26"/>
        </w:rPr>
      </w:pPr>
    </w:p>
    <w:tbl>
      <w:tblPr>
        <w:tblStyle w:val="a4"/>
        <w:tblW w:w="14400" w:type="dxa"/>
        <w:tblLayout w:type="fixed"/>
        <w:tblLook w:val="0400" w:firstRow="0" w:lastRow="0" w:firstColumn="0" w:lastColumn="0" w:noHBand="0" w:noVBand="1"/>
      </w:tblPr>
      <w:tblGrid>
        <w:gridCol w:w="14400"/>
      </w:tblGrid>
      <w:tr w:rsidR="00F218A1">
        <w:tc>
          <w:tcPr>
            <w:tcW w:w="14400" w:type="dxa"/>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Monitoring and evaluation</w:t>
            </w:r>
          </w:p>
        </w:tc>
      </w:tr>
      <w:tr w:rsidR="00F218A1">
        <w:trPr>
          <w:trHeight w:val="455"/>
        </w:trPr>
        <w:tc>
          <w:tcPr>
            <w:tcW w:w="14400" w:type="dxa"/>
            <w:tcMar>
              <w:top w:w="75" w:type="dxa"/>
              <w:left w:w="75" w:type="dxa"/>
              <w:bottom w:w="75" w:type="dxa"/>
              <w:right w:w="75" w:type="dxa"/>
            </w:tcMar>
          </w:tcPr>
          <w:p w:rsidR="00F218A1" w:rsidRDefault="00F218A1">
            <w:pPr>
              <w:rPr>
                <w:sz w:val="20"/>
                <w:szCs w:val="20"/>
              </w:rPr>
            </w:pPr>
          </w:p>
        </w:tc>
      </w:tr>
      <w:tr w:rsidR="00F218A1">
        <w:tc>
          <w:tcPr>
            <w:tcW w:w="14400" w:type="dxa"/>
            <w:shd w:val="clear" w:color="auto" w:fill="2E74B5"/>
            <w:tcMar>
              <w:top w:w="75" w:type="dxa"/>
              <w:left w:w="75" w:type="dxa"/>
              <w:bottom w:w="75" w:type="dxa"/>
              <w:right w:w="75" w:type="dxa"/>
            </w:tcMar>
          </w:tcPr>
          <w:p w:rsidR="00F218A1"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r w:rsidR="00F218A1">
        <w:trPr>
          <w:trHeight w:val="1080"/>
        </w:trPr>
        <w:tc>
          <w:tcPr>
            <w:tcW w:w="14400" w:type="dxa"/>
            <w:tcMar>
              <w:top w:w="75" w:type="dxa"/>
              <w:left w:w="75" w:type="dxa"/>
              <w:bottom w:w="75" w:type="dxa"/>
              <w:right w:w="75" w:type="dxa"/>
            </w:tcMar>
          </w:tcPr>
          <w:p w:rsidR="00F218A1" w:rsidRDefault="00000000">
            <w:pPr>
              <w:pBdr>
                <w:top w:val="nil"/>
                <w:left w:val="nil"/>
                <w:bottom w:val="nil"/>
                <w:right w:val="nil"/>
                <w:between w:val="nil"/>
              </w:pBdr>
              <w:spacing w:after="280" w:line="240" w:lineRule="auto"/>
              <w:rPr>
                <w:color w:val="000000"/>
                <w:sz w:val="20"/>
                <w:szCs w:val="20"/>
              </w:rPr>
            </w:pPr>
            <w:r>
              <w:rPr>
                <w:color w:val="000000"/>
                <w:sz w:val="20"/>
                <w:szCs w:val="20"/>
              </w:rPr>
              <w:t xml:space="preserve">Studies are needed to confirm the consistency of </w:t>
            </w:r>
            <w:proofErr w:type="spellStart"/>
            <w:r>
              <w:rPr>
                <w:color w:val="000000"/>
                <w:sz w:val="20"/>
                <w:szCs w:val="20"/>
              </w:rPr>
              <w:t>aEEG</w:t>
            </w:r>
            <w:proofErr w:type="spellEnd"/>
            <w:r>
              <w:rPr>
                <w:color w:val="000000"/>
                <w:sz w:val="20"/>
                <w:szCs w:val="20"/>
              </w:rPr>
              <w:t xml:space="preserve"> patterns with those identified by experts on full-montage EEG.</w:t>
            </w:r>
          </w:p>
          <w:p w:rsidR="00F218A1" w:rsidRDefault="00000000">
            <w:pPr>
              <w:pBdr>
                <w:top w:val="nil"/>
                <w:left w:val="nil"/>
                <w:bottom w:val="nil"/>
                <w:right w:val="nil"/>
                <w:between w:val="nil"/>
              </w:pBdr>
              <w:spacing w:line="240" w:lineRule="auto"/>
              <w:rPr>
                <w:color w:val="000000"/>
                <w:sz w:val="20"/>
                <w:szCs w:val="20"/>
              </w:rPr>
            </w:pPr>
            <w:r>
              <w:rPr>
                <w:color w:val="000000"/>
                <w:sz w:val="20"/>
                <w:szCs w:val="20"/>
              </w:rPr>
              <w:t xml:space="preserve">The evidence on </w:t>
            </w:r>
            <w:proofErr w:type="spellStart"/>
            <w:r>
              <w:rPr>
                <w:color w:val="000000"/>
                <w:sz w:val="20"/>
                <w:szCs w:val="20"/>
              </w:rPr>
              <w:t>aEEG</w:t>
            </w:r>
            <w:proofErr w:type="spellEnd"/>
            <w:r>
              <w:rPr>
                <w:color w:val="000000"/>
                <w:sz w:val="20"/>
                <w:szCs w:val="20"/>
              </w:rPr>
              <w:t xml:space="preserve"> is limited to a few studies, and further studies are needed to ensure the reproducibility of the results.  </w:t>
            </w:r>
          </w:p>
        </w:tc>
      </w:tr>
    </w:tbl>
    <w:p w:rsidR="00F218A1" w:rsidRDefault="00000000">
      <w:r>
        <w:t>References:</w:t>
      </w:r>
    </w:p>
    <w:p w:rsidR="00F218A1" w:rsidRDefault="00000000">
      <w:pPr>
        <w:spacing w:line="240" w:lineRule="auto"/>
        <w:rPr>
          <w:sz w:val="16"/>
          <w:szCs w:val="16"/>
        </w:rPr>
      </w:pPr>
      <w:proofErr w:type="spellStart"/>
      <w:r>
        <w:rPr>
          <w:sz w:val="16"/>
          <w:szCs w:val="16"/>
        </w:rPr>
        <w:t>Eertmans</w:t>
      </w:r>
      <w:proofErr w:type="spellEnd"/>
      <w:r>
        <w:rPr>
          <w:sz w:val="16"/>
          <w:szCs w:val="16"/>
        </w:rPr>
        <w:t xml:space="preserve"> W, </w:t>
      </w:r>
      <w:proofErr w:type="spellStart"/>
      <w:r>
        <w:rPr>
          <w:sz w:val="16"/>
          <w:szCs w:val="16"/>
        </w:rPr>
        <w:t>Genbrugge</w:t>
      </w:r>
      <w:proofErr w:type="spellEnd"/>
      <w:r>
        <w:rPr>
          <w:sz w:val="16"/>
          <w:szCs w:val="16"/>
        </w:rPr>
        <w:t xml:space="preserve"> C, </w:t>
      </w:r>
      <w:proofErr w:type="spellStart"/>
      <w:r>
        <w:rPr>
          <w:sz w:val="16"/>
          <w:szCs w:val="16"/>
        </w:rPr>
        <w:t>Haesen</w:t>
      </w:r>
      <w:proofErr w:type="spellEnd"/>
      <w:r>
        <w:rPr>
          <w:sz w:val="16"/>
          <w:szCs w:val="16"/>
        </w:rPr>
        <w:t xml:space="preserve"> J, et al. (2019) The prognostic value of simplified EEG in out-of-hospital cardiac arrest patients. </w:t>
      </w:r>
      <w:proofErr w:type="spellStart"/>
      <w:r>
        <w:rPr>
          <w:sz w:val="16"/>
          <w:szCs w:val="16"/>
        </w:rPr>
        <w:t>Neurocrit</w:t>
      </w:r>
      <w:proofErr w:type="spellEnd"/>
      <w:r>
        <w:rPr>
          <w:sz w:val="16"/>
          <w:szCs w:val="16"/>
        </w:rPr>
        <w:t xml:space="preserve"> Care 30:139–148</w:t>
      </w:r>
    </w:p>
    <w:p w:rsidR="00F218A1" w:rsidRDefault="00000000">
      <w:pPr>
        <w:spacing w:line="240" w:lineRule="auto"/>
        <w:rPr>
          <w:sz w:val="16"/>
          <w:szCs w:val="16"/>
        </w:rPr>
      </w:pPr>
      <w:r>
        <w:rPr>
          <w:sz w:val="16"/>
          <w:szCs w:val="16"/>
        </w:rPr>
        <w:t xml:space="preserve">Jang J, Oh SH, Nam Y, et al. BS (2019) Prognostic value of phase information of 2D T2*-weighted </w:t>
      </w:r>
      <w:proofErr w:type="spellStart"/>
      <w:r>
        <w:rPr>
          <w:sz w:val="16"/>
          <w:szCs w:val="16"/>
        </w:rPr>
        <w:t>gradi</w:t>
      </w:r>
      <w:proofErr w:type="spellEnd"/>
      <w:r>
        <w:rPr>
          <w:sz w:val="16"/>
          <w:szCs w:val="16"/>
        </w:rPr>
        <w:t xml:space="preserve">- </w:t>
      </w:r>
      <w:proofErr w:type="spellStart"/>
      <w:r>
        <w:rPr>
          <w:sz w:val="16"/>
          <w:szCs w:val="16"/>
        </w:rPr>
        <w:t>ent</w:t>
      </w:r>
      <w:proofErr w:type="spellEnd"/>
      <w:r>
        <w:rPr>
          <w:sz w:val="16"/>
          <w:szCs w:val="16"/>
        </w:rPr>
        <w:t xml:space="preserve"> echo brain imaging in cardiac arrest survivors: A preliminary study. Resuscitation 140:142–149</w:t>
      </w:r>
    </w:p>
    <w:p w:rsidR="00F218A1" w:rsidRDefault="00000000">
      <w:pPr>
        <w:spacing w:line="240" w:lineRule="auto"/>
        <w:rPr>
          <w:sz w:val="16"/>
          <w:szCs w:val="16"/>
        </w:rPr>
      </w:pPr>
      <w:r>
        <w:rPr>
          <w:sz w:val="16"/>
          <w:szCs w:val="16"/>
        </w:rPr>
        <w:t>Oh SH, Park KN, Kim YM, et al. (2013) The prognostic value of continuous amplitude-integrated electroencephalogram applied immediately after return of spontaneous circulation in therapeutic hypothermia-treated cardiac arrest patients. Resuscitation 84:200–205</w:t>
      </w:r>
    </w:p>
    <w:p w:rsidR="00F218A1" w:rsidRDefault="00000000">
      <w:pPr>
        <w:spacing w:line="240" w:lineRule="auto"/>
        <w:rPr>
          <w:sz w:val="16"/>
          <w:szCs w:val="16"/>
        </w:rPr>
      </w:pPr>
      <w:proofErr w:type="spellStart"/>
      <w:r>
        <w:rPr>
          <w:sz w:val="16"/>
          <w:szCs w:val="16"/>
        </w:rPr>
        <w:t>Rundgren</w:t>
      </w:r>
      <w:proofErr w:type="spellEnd"/>
      <w:r>
        <w:rPr>
          <w:sz w:val="16"/>
          <w:szCs w:val="16"/>
        </w:rPr>
        <w:t xml:space="preserve"> M, </w:t>
      </w:r>
      <w:proofErr w:type="spellStart"/>
      <w:r>
        <w:rPr>
          <w:sz w:val="16"/>
          <w:szCs w:val="16"/>
        </w:rPr>
        <w:t>Westhall</w:t>
      </w:r>
      <w:proofErr w:type="spellEnd"/>
      <w:r>
        <w:rPr>
          <w:sz w:val="16"/>
          <w:szCs w:val="16"/>
        </w:rPr>
        <w:t xml:space="preserve"> E, </w:t>
      </w:r>
      <w:proofErr w:type="spellStart"/>
      <w:r>
        <w:rPr>
          <w:sz w:val="16"/>
          <w:szCs w:val="16"/>
        </w:rPr>
        <w:t>Cronberg</w:t>
      </w:r>
      <w:proofErr w:type="spellEnd"/>
      <w:r>
        <w:rPr>
          <w:sz w:val="16"/>
          <w:szCs w:val="16"/>
        </w:rPr>
        <w:t xml:space="preserve"> T, et al. (2010) </w:t>
      </w:r>
      <w:proofErr w:type="spellStart"/>
      <w:r>
        <w:rPr>
          <w:sz w:val="16"/>
          <w:szCs w:val="16"/>
        </w:rPr>
        <w:t>Continu</w:t>
      </w:r>
      <w:proofErr w:type="spellEnd"/>
      <w:r>
        <w:rPr>
          <w:sz w:val="16"/>
          <w:szCs w:val="16"/>
        </w:rPr>
        <w:t xml:space="preserve">- </w:t>
      </w:r>
      <w:proofErr w:type="spellStart"/>
      <w:r>
        <w:rPr>
          <w:sz w:val="16"/>
          <w:szCs w:val="16"/>
        </w:rPr>
        <w:t>ous</w:t>
      </w:r>
      <w:proofErr w:type="spellEnd"/>
      <w:r>
        <w:rPr>
          <w:sz w:val="16"/>
          <w:szCs w:val="16"/>
        </w:rPr>
        <w:t xml:space="preserve"> amplitude-integrated electroencephalogram predicts outcome in hypothermia-treated cardiac arrest patients. Crit Care Med 38:1838–1844</w:t>
      </w:r>
    </w:p>
    <w:p w:rsidR="00F218A1" w:rsidRDefault="00000000">
      <w:pPr>
        <w:spacing w:line="240" w:lineRule="auto"/>
        <w:rPr>
          <w:sz w:val="16"/>
          <w:szCs w:val="16"/>
        </w:rPr>
      </w:pPr>
      <w:proofErr w:type="spellStart"/>
      <w:r>
        <w:rPr>
          <w:sz w:val="16"/>
          <w:szCs w:val="16"/>
        </w:rPr>
        <w:t>Wennervirta</w:t>
      </w:r>
      <w:proofErr w:type="spellEnd"/>
      <w:r>
        <w:rPr>
          <w:sz w:val="16"/>
          <w:szCs w:val="16"/>
        </w:rPr>
        <w:t xml:space="preserve"> JE, </w:t>
      </w:r>
      <w:proofErr w:type="spellStart"/>
      <w:r>
        <w:rPr>
          <w:sz w:val="16"/>
          <w:szCs w:val="16"/>
        </w:rPr>
        <w:t>Ermes</w:t>
      </w:r>
      <w:proofErr w:type="spellEnd"/>
      <w:r>
        <w:rPr>
          <w:sz w:val="16"/>
          <w:szCs w:val="16"/>
        </w:rPr>
        <w:t xml:space="preserve"> MJ, Tiainen SM, et </w:t>
      </w:r>
      <w:proofErr w:type="spellStart"/>
      <w:proofErr w:type="gramStart"/>
      <w:r>
        <w:rPr>
          <w:sz w:val="16"/>
          <w:szCs w:val="16"/>
        </w:rPr>
        <w:t>al.P</w:t>
      </w:r>
      <w:proofErr w:type="spellEnd"/>
      <w:proofErr w:type="gramEnd"/>
      <w:r>
        <w:rPr>
          <w:sz w:val="16"/>
          <w:szCs w:val="16"/>
        </w:rPr>
        <w:t xml:space="preserve"> (2009) Hypothermia-treated cardiac arrest patients with good neurological outcome differ early in quantitative variables of EEG suppression and epileptiform activity. Crit Care Med 37:2427–2435</w:t>
      </w:r>
    </w:p>
    <w:p w:rsidR="00F218A1" w:rsidRDefault="00F218A1"/>
    <w:sectPr w:rsidR="00F218A1">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A1"/>
    <w:rsid w:val="003201CB"/>
    <w:rsid w:val="00F2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8ABA6E7-9A5A-324A-BFF2-50755186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FuKF6EDp5nzsn+SM58QJiN+Lg==">AMUW2mWs2bndODAvyDnaXXc9W8696/eG3Y4V4ju+s8h0C1zjPDdXHdU8MlMQEEpFInULLLUPtRiOycGVa8dZocuLnQwuIT33kjQspxn92Xa/jjldYX9Fl3y0icn17wMiPXsWBTBvwvhbJM2UYy5netwZEi0cDl7rZXmfwAvQLLVeG0dmZA9Pikk=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2022-12-22T19:01:00Z</dcterms:created>
  <dcterms:modified xsi:type="dcterms:W3CDTF">2022-12-22T19:01:00Z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726d2d60de08930083a8227f186e40c1ce3438a37a62b8b14013775268e0e030</vt:lpwstr>
  </property>
</Properties>
</file>