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D372B" w14:textId="77777777" w:rsidR="00DB3EE5" w:rsidRDefault="006122DB">
      <w:pPr>
        <w:spacing w:line="140" w:lineRule="atLeast"/>
        <w:divId w:val="117647323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Author(s):</w:t>
      </w:r>
      <w:r w:rsidR="009B76CC" w:rsidRPr="009B76CC">
        <w:rPr>
          <w:lang w:val="en-US"/>
        </w:rPr>
        <w:t xml:space="preserve"> </w:t>
      </w:r>
      <w:r w:rsidR="009B76CC"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Lauridsen KG, </w:t>
      </w:r>
      <w:proofErr w:type="spellStart"/>
      <w:r w:rsidR="009B76CC"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Bürgstein</w:t>
      </w:r>
      <w:proofErr w:type="spellEnd"/>
      <w:r w:rsidR="009B76CC"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E, </w:t>
      </w:r>
      <w:proofErr w:type="spellStart"/>
      <w:r w:rsidR="009B76CC"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Nabecker</w:t>
      </w:r>
      <w:proofErr w:type="spellEnd"/>
      <w:r w:rsidR="009B76CC"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S, Lin Y, Donoghue A, Duff J, Cheng A on behalf of the International Liaison Committee on Resuscitation Education, Implementation, and Teams Task Force. </w:t>
      </w: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</w:t>
      </w:r>
    </w:p>
    <w:p w14:paraId="660A1A66" w14:textId="77777777" w:rsidR="00DB3EE5" w:rsidRDefault="006122DB">
      <w:pPr>
        <w:spacing w:line="140" w:lineRule="atLeast"/>
        <w:divId w:val="42364424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Question: </w:t>
      </w: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Resuscitation teams with a CPR Coach compared to Resuscitation teams without a CPR Coach for treatment of cardiac arrest patients</w:t>
      </w:r>
    </w:p>
    <w:p w14:paraId="2CA3BA96" w14:textId="77777777" w:rsidR="00DB3EE5" w:rsidRDefault="006122DB">
      <w:pPr>
        <w:spacing w:line="140" w:lineRule="atLeast"/>
        <w:divId w:val="1682002340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Setting: </w:t>
      </w:r>
      <w:r w:rsid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Any setting</w:t>
      </w:r>
    </w:p>
    <w:p w14:paraId="2039C5D1" w14:textId="77777777" w:rsidR="009B76CC" w:rsidRDefault="006122DB" w:rsidP="009B76CC">
      <w:pPr>
        <w:spacing w:after="0" w:line="140" w:lineRule="atLeast"/>
        <w:divId w:val="309016506"/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Bibliography: </w:t>
      </w:r>
    </w:p>
    <w:p w14:paraId="636694AD" w14:textId="77777777" w:rsidR="009B76CC" w:rsidRPr="009B76CC" w:rsidRDefault="009B76CC" w:rsidP="009B76CC">
      <w:pPr>
        <w:spacing w:after="0" w:line="140" w:lineRule="atLeast"/>
        <w:divId w:val="309016506"/>
        <w:rPr>
          <w:rFonts w:ascii="Arial Narrow" w:eastAsia="Times New Roman" w:hAnsi="Arial Narrow"/>
          <w:b/>
          <w:bCs/>
          <w:color w:val="000000"/>
          <w:sz w:val="14"/>
          <w:szCs w:val="14"/>
        </w:rPr>
      </w:pP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[1]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>Infinger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 AE,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>Vandeventer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 S,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>Studnek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 JR. </w:t>
      </w: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Introduction of performance coaching during cardiopulmonary resuscitation improves compression depth and time to defibrillation in out-of-hospital cardiac arrest.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>Resuscitation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 2014;85:1752–8. doi:10.1016/j.resuscitation.2014.09.016.</w:t>
      </w:r>
    </w:p>
    <w:p w14:paraId="7162A210" w14:textId="77777777" w:rsidR="009B76CC" w:rsidRPr="009B76CC" w:rsidRDefault="009B76CC" w:rsidP="009B76CC">
      <w:pPr>
        <w:spacing w:after="0" w:line="140" w:lineRule="atLeast"/>
        <w:divId w:val="309016506"/>
        <w:rPr>
          <w:rFonts w:ascii="Arial Narrow" w:eastAsia="Times New Roman" w:hAnsi="Arial Narrow"/>
          <w:b/>
          <w:bCs/>
          <w:color w:val="000000"/>
          <w:sz w:val="14"/>
          <w:szCs w:val="14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[2] </w:t>
      </w: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Cheng A, Duff JP, Kessler D,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>Tofil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 NM,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>Davidson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 J, Lin Y, et al. </w:t>
      </w: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Optimizing </w:t>
      </w:r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CPR performance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with CPR coaching for pediatric cardiac arrest: A randomized simulation-based clinical trial.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>Resuscitation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 2018;132:33–40. doi:10.1016/j.resuscitation.2018.08.021.</w:t>
      </w:r>
    </w:p>
    <w:p w14:paraId="6FF02B42" w14:textId="77777777" w:rsidR="009B76CC" w:rsidRPr="009B76CC" w:rsidRDefault="009B76CC" w:rsidP="009B76CC">
      <w:pPr>
        <w:spacing w:after="0" w:line="140" w:lineRule="atLeast"/>
        <w:divId w:val="309016506"/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[3] </w:t>
      </w: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Jones KA, Jani KH, Jones GW, Nye ML, Duff JP, Cheng A, et al. </w:t>
      </w: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Using natural language processing to compare task-specific verbal cues in </w:t>
      </w:r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coached  versus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noncoached cardiac arrest teams during simulated pediatrics resuscitation. AEM Educ Train 2021;</w:t>
      </w:r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5:e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10707. doi:10.1002/aet2.10707.</w:t>
      </w:r>
    </w:p>
    <w:p w14:paraId="6BB86EF2" w14:textId="77777777" w:rsidR="009B76CC" w:rsidRPr="009B76CC" w:rsidRDefault="009B76CC" w:rsidP="009B76CC">
      <w:pPr>
        <w:spacing w:after="0" w:line="140" w:lineRule="atLeast"/>
        <w:divId w:val="309016506"/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[4]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Tofil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NM, Cheng A, Lin Y, Davidson J, Hunt EA, Chatfield J, et al. Effect of a Cardiopulmonary Resuscitation Coach on Workload During Pediatric  Cardiopulmonary Arrest: A Multicenter, Simulation-Based Study.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Pediatr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Crit Care </w:t>
      </w:r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Med  a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J Soc Crit Care  Med World Fed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Pediatr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Intensive Crit Care Soc 2020;21:e274–81. doi:10.1097/PCC.0000000000002275.</w:t>
      </w:r>
    </w:p>
    <w:p w14:paraId="1D853061" w14:textId="77777777" w:rsidR="009B76CC" w:rsidRPr="009B76CC" w:rsidRDefault="009B76CC" w:rsidP="009B76CC">
      <w:pPr>
        <w:spacing w:after="0" w:line="140" w:lineRule="atLeast"/>
        <w:divId w:val="309016506"/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[5] </w:t>
      </w: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Kessler DO,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Grabinski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Z, Shepard LN, Jones SI, Lin Y, Duff J, et al. Influence of Cardiopulmonary Resuscitation Coaching on Interruptions in Chest Compressions During Simulated Pediatric Cardiac Arrest.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Pediatr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Crit Care Med </w:t>
      </w:r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2021;22:345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–53. doi:10.1097/PCC.0000000000002623.</w:t>
      </w:r>
    </w:p>
    <w:p w14:paraId="199DB376" w14:textId="77777777" w:rsidR="009B76CC" w:rsidRPr="009B76CC" w:rsidRDefault="009B76CC" w:rsidP="009B76CC">
      <w:pPr>
        <w:spacing w:after="0" w:line="140" w:lineRule="atLeast"/>
        <w:divId w:val="309016506"/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[6]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Buyck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M, Shayan Y, Gravel J, Hunt EA, Cheng A, Levy A. CPR coaching during cardiac arrest improves adherence to PALS guidelines: a prospective, simulation-based trial.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Resusc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Plus </w:t>
      </w:r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2021;5:100058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.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doi:https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://doi.org/10.1016/j.resplu.2020.100058.</w:t>
      </w:r>
    </w:p>
    <w:p w14:paraId="51FA6E83" w14:textId="77777777" w:rsidR="009B76CC" w:rsidRPr="009B76CC" w:rsidRDefault="009B76CC" w:rsidP="009B76CC">
      <w:pPr>
        <w:spacing w:after="0" w:line="140" w:lineRule="atLeast"/>
        <w:divId w:val="309016506"/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[7] </w:t>
      </w:r>
      <w:proofErr w:type="spellStart"/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Badke</w:t>
      </w:r>
      <w:proofErr w:type="spellEnd"/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CM, </w:t>
      </w:r>
      <w:proofErr w:type="spellStart"/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Friedma</w:t>
      </w:r>
      <w:proofErr w:type="spellEnd"/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</w:t>
      </w: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ML, Harris ZL, McCarthy-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Kowols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M, Tran S. Impact of an untrained CPR Coach in simulated pediatric cardiopulmonary arrest: </w:t>
      </w:r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A  pilot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study.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Resusc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Plus </w:t>
      </w:r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2020;4:100035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. doi:10.1016/j.resplu.2020.100035.</w:t>
      </w:r>
    </w:p>
    <w:p w14:paraId="0F6E7DB8" w14:textId="77777777" w:rsidR="009B76CC" w:rsidRPr="009B76CC" w:rsidRDefault="009B76CC" w:rsidP="009B76CC">
      <w:pPr>
        <w:spacing w:after="0" w:line="140" w:lineRule="atLeast"/>
        <w:divId w:val="309016506"/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[8] </w:t>
      </w: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Pfeiffer S, Lauridsen KG, Wenger J, Hunt EA, Haskell S, Atkins DL, et al. Code Team Structure and Training in the Pediatric Resuscitation Quality International Collaborative.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Pediatr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Emerg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Care 2021;</w:t>
      </w:r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37:E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431–5. doi:10.1097/PEC.0000000000001748.</w:t>
      </w:r>
    </w:p>
    <w:p w14:paraId="1CD9C56D" w14:textId="77777777" w:rsidR="009B76CC" w:rsidRPr="009B76CC" w:rsidRDefault="009B76CC" w:rsidP="009B76CC">
      <w:pPr>
        <w:spacing w:after="0" w:line="140" w:lineRule="atLeast"/>
        <w:divId w:val="309016506"/>
        <w:rPr>
          <w:rFonts w:ascii="Arial Narrow" w:eastAsia="Times New Roman" w:hAnsi="Arial Narrow"/>
          <w:b/>
          <w:bCs/>
          <w:color w:val="000000"/>
          <w:sz w:val="14"/>
          <w:szCs w:val="14"/>
        </w:rPr>
      </w:pP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[9] Lauridsen KG, Krogh K, Müller SD, Schmidt AS, Nadkarni VM, Berg RA, et al. </w:t>
      </w: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Barriers and facilitators for in-hospital resuscitation: A prospective clinical  study.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>Resuscitation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 2021;164:70–8. doi:10.1016/j.resuscitation.2021.05.007.</w:t>
      </w:r>
    </w:p>
    <w:p w14:paraId="6977A84F" w14:textId="77777777" w:rsidR="009B76CC" w:rsidRPr="009B76CC" w:rsidRDefault="009B76CC" w:rsidP="009B76CC">
      <w:pPr>
        <w:spacing w:after="0" w:line="140" w:lineRule="atLeast"/>
        <w:divId w:val="309016506"/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[10] </w:t>
      </w: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Hunt EA,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>Jeffers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 J,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>McNamara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 L, Newton H, Ford K,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>Bernier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</w:rPr>
        <w:t xml:space="preserve"> M, et al. </w:t>
      </w: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Improved Cardiopulmonary Resuscitation Performance With CODE </w:t>
      </w:r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ACES(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2): A Resuscitation Quality Bundle. J Am Heart Assoc 2018;</w:t>
      </w:r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7:e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009860. doi:10.1161/JAHA.118.009860.</w:t>
      </w:r>
    </w:p>
    <w:p w14:paraId="2E80C401" w14:textId="77777777" w:rsidR="009B76CC" w:rsidRPr="009B76CC" w:rsidRDefault="009B76CC" w:rsidP="009B76CC">
      <w:pPr>
        <w:spacing w:after="0" w:line="140" w:lineRule="atLeast"/>
        <w:divId w:val="309016506"/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[11] </w:t>
      </w: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Leary M,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Schweickert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W, Neefe S,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Tsypenyuk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B, Falk SA,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Holena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DN. Improving Providers’ Role Definitions to Decrease Overcrowding and Improve  In-Hospital Cardiac Arrest Response. Am J Crit </w:t>
      </w:r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Care  an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Off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Publ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Am Assoc  Crit Nurses 2016;25:335–9. doi:10.4037/ajcc2016195.</w:t>
      </w:r>
    </w:p>
    <w:p w14:paraId="1CEC2405" w14:textId="77777777" w:rsidR="009B76CC" w:rsidRPr="009B76CC" w:rsidRDefault="009B76CC" w:rsidP="009B76CC">
      <w:pPr>
        <w:spacing w:after="0" w:line="140" w:lineRule="atLeast"/>
        <w:divId w:val="309016506"/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[12] </w:t>
      </w:r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Pallas JD, Smiles JP, Zhang M. Cardiac Arrest Nurse Leadership (CANLEAD) trial: a simulation-based </w:t>
      </w:r>
      <w:proofErr w:type="spellStart"/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randomised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 controlled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trial implementation of a new cardiac arrest role to facilitate cognitive offload for medical team leaders. </w:t>
      </w:r>
      <w:proofErr w:type="spell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Emerg</w:t>
      </w:r>
      <w:proofErr w:type="spell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 Med J </w:t>
      </w:r>
      <w:proofErr w:type="gramStart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2021;38:572</w:t>
      </w:r>
      <w:proofErr w:type="gramEnd"/>
      <w:r w:rsidRPr="009B76CC"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–8. doi:10.1136/emermed-2019-209298.</w:t>
      </w:r>
    </w:p>
    <w:p w14:paraId="2A2E9C80" w14:textId="77777777" w:rsidR="00DB3EE5" w:rsidRDefault="00DB3EE5">
      <w:pPr>
        <w:spacing w:line="140" w:lineRule="atLeast"/>
        <w:divId w:val="309016506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8"/>
        <w:gridCol w:w="862"/>
        <w:gridCol w:w="1006"/>
        <w:gridCol w:w="1006"/>
        <w:gridCol w:w="1006"/>
        <w:gridCol w:w="1006"/>
        <w:gridCol w:w="1581"/>
        <w:gridCol w:w="4598"/>
        <w:gridCol w:w="1437"/>
        <w:gridCol w:w="1150"/>
      </w:tblGrid>
      <w:tr w:rsidR="00DB3EE5" w14:paraId="1ED03FF7" w14:textId="77777777">
        <w:trPr>
          <w:divId w:val="1061170076"/>
          <w:cantSplit/>
          <w:tblHeader/>
        </w:trPr>
        <w:tc>
          <w:tcPr>
            <w:tcW w:w="0" w:type="auto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59369551" w14:textId="77777777" w:rsidR="00DB3EE5" w:rsidRDefault="006122DB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 assessment</w:t>
            </w:r>
          </w:p>
        </w:tc>
        <w:tc>
          <w:tcPr>
            <w:tcW w:w="160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1E0B34D2" w14:textId="77777777" w:rsidR="00DB3EE5" w:rsidRDefault="006122DB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Impact</w:t>
            </w:r>
          </w:p>
        </w:tc>
        <w:tc>
          <w:tcPr>
            <w:tcW w:w="50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2EF62173" w14:textId="77777777" w:rsidR="00DB3EE5" w:rsidRDefault="006122DB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336E055B" w14:textId="77777777" w:rsidR="00DB3EE5" w:rsidRDefault="006122DB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Importance</w:t>
            </w:r>
          </w:p>
        </w:tc>
      </w:tr>
      <w:tr w:rsidR="00DB3EE5" w14:paraId="39703295" w14:textId="77777777">
        <w:trPr>
          <w:divId w:val="1061170076"/>
          <w:cantSplit/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36329A48" w14:textId="77777777" w:rsidR="00DB3EE5" w:rsidRDefault="006122DB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№ of studies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4E5594CC" w14:textId="77777777" w:rsidR="00DB3EE5" w:rsidRDefault="006122DB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Study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443A2B61" w14:textId="77777777" w:rsidR="00DB3EE5" w:rsidRDefault="006122DB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Risk of bias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069EF6D8" w14:textId="77777777" w:rsidR="00DB3EE5" w:rsidRDefault="006122DB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Inconsistency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1B705E57" w14:textId="77777777" w:rsidR="00DB3EE5" w:rsidRDefault="006122DB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Indirectness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40DFE6FA" w14:textId="77777777" w:rsidR="00DB3EE5" w:rsidRDefault="006122DB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Imprecision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68ACE793" w14:textId="77777777" w:rsidR="00DB3EE5" w:rsidRDefault="006122DB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Other considerations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C3CDBAD" w14:textId="77777777" w:rsidR="00DB3EE5" w:rsidRDefault="00DB3EE5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5C45D8E" w14:textId="77777777" w:rsidR="00DB3EE5" w:rsidRDefault="00DB3EE5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945E507" w14:textId="77777777" w:rsidR="00DB3EE5" w:rsidRDefault="00DB3EE5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</w:tr>
      <w:tr w:rsidR="00DB3EE5" w14:paraId="6A106921" w14:textId="77777777">
        <w:trPr>
          <w:divId w:val="1061170076"/>
          <w:cantSplit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14:paraId="20514D55" w14:textId="77777777" w:rsidR="00DB3EE5" w:rsidRDefault="006122DB">
            <w:pPr>
              <w:divId w:val="69934517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Clinical CPR performance</w:t>
            </w:r>
          </w:p>
        </w:tc>
      </w:tr>
      <w:tr w:rsidR="00DB3EE5" w14:paraId="71C36A8C" w14:textId="77777777">
        <w:trPr>
          <w:divId w:val="1061170076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DFA1F" w14:textId="77777777" w:rsidR="00DB3EE5" w:rsidRDefault="006122DB">
            <w:pPr>
              <w:jc w:val="center"/>
              <w:divId w:val="76572984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136A6" w14:textId="77777777" w:rsidR="00DB3EE5" w:rsidRDefault="006122DB">
            <w:pPr>
              <w:jc w:val="center"/>
              <w:divId w:val="128072508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non-randomised studies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A71C5" w14:textId="77777777" w:rsidR="00DB3EE5" w:rsidRDefault="006122DB">
            <w:pPr>
              <w:jc w:val="center"/>
              <w:divId w:val="162380930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b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B68E3" w14:textId="77777777" w:rsidR="00DB3EE5" w:rsidRDefault="006122DB">
            <w:pPr>
              <w:jc w:val="center"/>
              <w:divId w:val="58210703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38987" w14:textId="77777777" w:rsidR="00DB3EE5" w:rsidRDefault="006122DB">
            <w:pPr>
              <w:jc w:val="center"/>
              <w:divId w:val="97229619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001AC" w14:textId="77777777" w:rsidR="00DB3EE5" w:rsidRDefault="006122DB">
            <w:pPr>
              <w:jc w:val="center"/>
              <w:divId w:val="44049836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d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CE019" w14:textId="77777777" w:rsidR="00DB3EE5" w:rsidRPr="00372ED4" w:rsidRDefault="006122DB" w:rsidP="009B76CC">
            <w:pPr>
              <w:jc w:val="center"/>
              <w:divId w:val="1485854832"/>
              <w:rPr>
                <w:rFonts w:ascii="Arial Narrow" w:eastAsia="Times New Roman" w:hAnsi="Arial Narrow"/>
                <w:sz w:val="13"/>
                <w:szCs w:val="13"/>
                <w:lang w:val="en-US"/>
              </w:rPr>
            </w:pPr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>all plausible residual confounding would suggest spurious effect, while no effect was observed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E1D43" w14:textId="77777777" w:rsidR="00DB3EE5" w:rsidRPr="00372ED4" w:rsidRDefault="006122DB" w:rsidP="009B76CC">
            <w:pPr>
              <w:divId w:val="1432160122"/>
              <w:rPr>
                <w:rFonts w:ascii="Arial Narrow" w:eastAsia="Times New Roman" w:hAnsi="Arial Narrow"/>
                <w:sz w:val="13"/>
                <w:szCs w:val="13"/>
                <w:lang w:val="en-US"/>
              </w:rPr>
            </w:pPr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>Infinger 2014 found that implementation of a CPR Coach improved fraction of compressions at adequate depth from 69.8% to 80.4%; compression depth increased from 43.6mm to 47.2mm, and time to defibrillation was reduced from 13.2s to 7.2s. P-values or confidence intervals for comparisons not reported.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68B0" w14:textId="77777777" w:rsidR="00DB3EE5" w:rsidRDefault="006122DB">
            <w:pPr>
              <w:jc w:val="center"/>
              <w:divId w:val="59482627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b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d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DD725" w14:textId="77777777" w:rsidR="00DB3EE5" w:rsidRDefault="006122DB">
            <w:pPr>
              <w:jc w:val="center"/>
              <w:divId w:val="105323638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DB3EE5" w14:paraId="2FFD791D" w14:textId="77777777">
        <w:trPr>
          <w:divId w:val="1061170076"/>
          <w:cantSplit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14:paraId="70DB8154" w14:textId="77777777" w:rsidR="00DB3EE5" w:rsidRDefault="006122DB">
            <w:pPr>
              <w:divId w:val="846291561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CPR performance in simulation</w:t>
            </w:r>
          </w:p>
        </w:tc>
      </w:tr>
      <w:tr w:rsidR="00DB3EE5" w14:paraId="69D54939" w14:textId="77777777">
        <w:trPr>
          <w:divId w:val="1061170076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C2248" w14:textId="77777777" w:rsidR="00DB3EE5" w:rsidRDefault="006122DB">
            <w:pPr>
              <w:jc w:val="center"/>
              <w:divId w:val="180815957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BE858" w14:textId="77777777" w:rsidR="00DB3EE5" w:rsidRDefault="006122DB">
            <w:pPr>
              <w:jc w:val="center"/>
              <w:divId w:val="205157042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D36B0" w14:textId="77777777" w:rsidR="00DB3EE5" w:rsidRDefault="006122DB">
            <w:pPr>
              <w:jc w:val="center"/>
              <w:divId w:val="87000053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7B2B0" w14:textId="77777777" w:rsidR="00DB3EE5" w:rsidRDefault="006122DB">
            <w:pPr>
              <w:jc w:val="center"/>
              <w:divId w:val="100049801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EDEFC" w14:textId="77777777" w:rsidR="00DB3EE5" w:rsidRDefault="006122DB">
            <w:pPr>
              <w:jc w:val="center"/>
              <w:divId w:val="7513340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D233D" w14:textId="77777777" w:rsidR="00DB3EE5" w:rsidRDefault="006122DB">
            <w:pPr>
              <w:jc w:val="center"/>
              <w:divId w:val="44658353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e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DD61D" w14:textId="77777777" w:rsidR="00DB3EE5" w:rsidRPr="00372ED4" w:rsidRDefault="006122DB" w:rsidP="009B76CC">
            <w:pPr>
              <w:jc w:val="center"/>
              <w:divId w:val="1476799137"/>
              <w:rPr>
                <w:rFonts w:ascii="Arial Narrow" w:eastAsia="Times New Roman" w:hAnsi="Arial Narrow"/>
                <w:sz w:val="13"/>
                <w:szCs w:val="13"/>
                <w:lang w:val="en-US"/>
              </w:rPr>
            </w:pPr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>all plausible residual confounding would suggest spurious effect, while no effect was observed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C1996" w14:textId="77777777" w:rsidR="00DB3EE5" w:rsidRPr="00372ED4" w:rsidRDefault="006122DB" w:rsidP="009B76CC">
            <w:pPr>
              <w:divId w:val="32275285"/>
              <w:rPr>
                <w:rFonts w:ascii="Arial Narrow" w:eastAsia="Times New Roman" w:hAnsi="Arial Narrow"/>
                <w:sz w:val="13"/>
                <w:szCs w:val="13"/>
                <w:lang w:val="en-US"/>
              </w:rPr>
            </w:pPr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Cheng 2018 found higher fraction of excellent chest compressions (63% vs 31%, Diff: 31.8 (17.7, 45.9); higher fraction of compressions within guideline recommendations 38.0 vs. 69.5, Diff: 31.5 (15.7, 47.4); guideline compliant rate (88% vs 80%, p=0.07); CCF (82% vs 77%, p=0.04) for coached vs non-coached teams. Kessler 2021 found shorter overall pause durations for coached vs non-coached teams 98.6 s vs 120.85 s, diff: 0.6–43.9 s, shorter pauses for intubation and defibrillation with no significant difference in mean pause frequency. Badke 2020 found shorter time to backboard placement (22s vs. 55s, p=0.02); no difference in compression rate, no flow time, time to first epi, time to first shock, or </w:t>
            </w:r>
            <w:proofErr w:type="spellStart"/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>perishock</w:t>
            </w:r>
            <w:proofErr w:type="spellEnd"/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 pause duration. </w:t>
            </w:r>
          </w:p>
          <w:p w14:paraId="02AE5D7F" w14:textId="77777777" w:rsidR="00DB3EE5" w:rsidRPr="009B76CC" w:rsidRDefault="006122DB" w:rsidP="009B76CC">
            <w:pPr>
              <w:divId w:val="32275285"/>
              <w:rPr>
                <w:rFonts w:ascii="Arial Narrow" w:eastAsia="Times New Roman" w:hAnsi="Arial Narrow"/>
                <w:sz w:val="13"/>
                <w:szCs w:val="13"/>
              </w:rPr>
            </w:pPr>
            <w:r w:rsidRPr="009B76CC"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587FB" w14:textId="77777777" w:rsidR="00DB3EE5" w:rsidRDefault="006122DB">
            <w:pPr>
              <w:jc w:val="center"/>
              <w:divId w:val="7871739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proofErr w:type="spellStart"/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</w:t>
            </w:r>
            <w:proofErr w:type="spellEnd"/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 xml:space="preserve"> </w:t>
            </w:r>
            <w:proofErr w:type="spellStart"/>
            <w:proofErr w:type="gramStart"/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low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e</w:t>
            </w:r>
            <w:proofErr w:type="spellEnd"/>
            <w:proofErr w:type="gram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EA6E3" w14:textId="77777777" w:rsidR="00DB3EE5" w:rsidRDefault="006122DB">
            <w:pPr>
              <w:jc w:val="center"/>
              <w:divId w:val="117160366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  <w:tr w:rsidR="00DB3EE5" w14:paraId="2A4795EA" w14:textId="77777777">
        <w:trPr>
          <w:divId w:val="1061170076"/>
          <w:cantSplit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14:paraId="36670C17" w14:textId="77777777" w:rsidR="00DB3EE5" w:rsidRDefault="006122DB">
            <w:pPr>
              <w:divId w:val="194244970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Guideline adherence in simulation</w:t>
            </w:r>
          </w:p>
        </w:tc>
      </w:tr>
      <w:tr w:rsidR="00DB3EE5" w14:paraId="0025A41F" w14:textId="77777777">
        <w:trPr>
          <w:divId w:val="1061170076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EF765" w14:textId="77777777" w:rsidR="00DB3EE5" w:rsidRDefault="006122DB">
            <w:pPr>
              <w:jc w:val="center"/>
              <w:divId w:val="174714668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lastRenderedPageBreak/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598CF" w14:textId="77777777" w:rsidR="00DB3EE5" w:rsidRDefault="006122DB">
            <w:pPr>
              <w:jc w:val="center"/>
              <w:divId w:val="49082765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42319" w14:textId="77777777" w:rsidR="00DB3EE5" w:rsidRDefault="006122DB">
            <w:pPr>
              <w:jc w:val="center"/>
              <w:divId w:val="27421611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f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3777B" w14:textId="77777777" w:rsidR="00DB3EE5" w:rsidRDefault="006122DB">
            <w:pPr>
              <w:jc w:val="center"/>
              <w:divId w:val="62150007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B9E33" w14:textId="77777777" w:rsidR="00DB3EE5" w:rsidRDefault="006122DB">
            <w:pPr>
              <w:jc w:val="center"/>
              <w:divId w:val="155327593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g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0CF62" w14:textId="77777777" w:rsidR="00DB3EE5" w:rsidRDefault="006122DB">
            <w:pPr>
              <w:jc w:val="center"/>
              <w:divId w:val="173723740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d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0E007" w14:textId="77777777" w:rsidR="00DB3EE5" w:rsidRPr="00372ED4" w:rsidRDefault="006122DB" w:rsidP="009B76CC">
            <w:pPr>
              <w:jc w:val="center"/>
              <w:divId w:val="2011787181"/>
              <w:rPr>
                <w:rFonts w:ascii="Arial Narrow" w:eastAsia="Times New Roman" w:hAnsi="Arial Narrow"/>
                <w:sz w:val="13"/>
                <w:szCs w:val="13"/>
                <w:lang w:val="en-US"/>
              </w:rPr>
            </w:pPr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>all plausible residual confounding would suggest spurious effect, while no effect was observed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F6F4B" w14:textId="77777777" w:rsidR="00DB3EE5" w:rsidRPr="00372ED4" w:rsidRDefault="006122DB">
            <w:pPr>
              <w:divId w:val="1769890184"/>
              <w:rPr>
                <w:rFonts w:ascii="Arial Narrow" w:eastAsia="Times New Roman" w:hAnsi="Arial Narrow"/>
                <w:sz w:val="13"/>
                <w:szCs w:val="13"/>
                <w:lang w:val="en-US"/>
              </w:rPr>
            </w:pPr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Buyck 2021 measured a clinical performance tool for teams with vs. without a CPR coach. They found that scores were 73.4 for CPR coached teams vs 68.3 for non-coached teams, (difference: 5.2 points; 95% CI: 1.0-9.3; p=0.016)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D68BD" w14:textId="77777777" w:rsidR="00DB3EE5" w:rsidRDefault="006122DB">
            <w:pPr>
              <w:jc w:val="center"/>
              <w:divId w:val="133571956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Low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d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f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g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7E1FE" w14:textId="77777777" w:rsidR="00DB3EE5" w:rsidRDefault="006122DB">
            <w:pPr>
              <w:jc w:val="center"/>
              <w:divId w:val="185560789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  <w:tr w:rsidR="00DB3EE5" w14:paraId="4467A005" w14:textId="77777777">
        <w:trPr>
          <w:divId w:val="1061170076"/>
          <w:cantSplit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14:paraId="3F15DA61" w14:textId="77777777" w:rsidR="00DB3EE5" w:rsidRDefault="006122DB">
            <w:pPr>
              <w:divId w:val="883441487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Teamwork in simulation</w:t>
            </w:r>
          </w:p>
        </w:tc>
      </w:tr>
      <w:tr w:rsidR="00DB3EE5" w14:paraId="6016172C" w14:textId="77777777">
        <w:trPr>
          <w:divId w:val="1061170076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AD71" w14:textId="77777777" w:rsidR="00DB3EE5" w:rsidRDefault="006122DB">
            <w:pPr>
              <w:jc w:val="center"/>
              <w:divId w:val="130970288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4A8C9" w14:textId="77777777" w:rsidR="00DB3EE5" w:rsidRDefault="006122DB">
            <w:pPr>
              <w:jc w:val="center"/>
              <w:divId w:val="172544916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BED99" w14:textId="77777777" w:rsidR="00DB3EE5" w:rsidRDefault="006122DB">
            <w:pPr>
              <w:jc w:val="center"/>
              <w:divId w:val="54684523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h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70AD4" w14:textId="77777777" w:rsidR="00DB3EE5" w:rsidRDefault="006122DB">
            <w:pPr>
              <w:jc w:val="center"/>
              <w:divId w:val="175481685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757C8" w14:textId="77777777" w:rsidR="00DB3EE5" w:rsidRDefault="006122DB">
            <w:pPr>
              <w:jc w:val="center"/>
              <w:divId w:val="348054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i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F7BBB" w14:textId="77777777" w:rsidR="00DB3EE5" w:rsidRDefault="006122DB">
            <w:pPr>
              <w:jc w:val="center"/>
              <w:divId w:val="85048536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j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A9A50" w14:textId="77777777" w:rsidR="00DB3EE5" w:rsidRPr="00372ED4" w:rsidRDefault="006122DB" w:rsidP="009B76CC">
            <w:pPr>
              <w:jc w:val="center"/>
              <w:divId w:val="412436563"/>
              <w:rPr>
                <w:rFonts w:ascii="Arial Narrow" w:eastAsia="Times New Roman" w:hAnsi="Arial Narrow"/>
                <w:sz w:val="13"/>
                <w:szCs w:val="13"/>
                <w:lang w:val="en-US"/>
              </w:rPr>
            </w:pPr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>all plausible residual confounding would suggest spurious effect, while no effect was observed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EBFB0" w14:textId="77777777" w:rsidR="00DB3EE5" w:rsidRPr="00372ED4" w:rsidRDefault="006122DB">
            <w:pPr>
              <w:divId w:val="1157500666"/>
              <w:rPr>
                <w:rFonts w:ascii="Arial Narrow" w:eastAsia="Times New Roman" w:hAnsi="Arial Narrow"/>
                <w:sz w:val="13"/>
                <w:szCs w:val="13"/>
                <w:lang w:val="en-US"/>
              </w:rPr>
            </w:pPr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Jones 2021 found that CPR coached teams had more words/min compared to non-coached teams (160vs134; p&lt;0.05) overall; team leaders and others said less/min (70.2 vs 88.4 and 30.4 vs 45.6, p&lt;0,05), and total questions/min was lower (2.84 vs 3.66, p&lt;0,05).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C877F" w14:textId="77777777" w:rsidR="00DB3EE5" w:rsidRDefault="006122DB">
            <w:pPr>
              <w:jc w:val="center"/>
              <w:divId w:val="165159889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h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i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j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6F4B2" w14:textId="77777777" w:rsidR="00DB3EE5" w:rsidRDefault="006122DB">
            <w:pPr>
              <w:jc w:val="center"/>
              <w:divId w:val="203641979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  <w:tr w:rsidR="00DB3EE5" w14:paraId="3CE5715E" w14:textId="77777777">
        <w:trPr>
          <w:divId w:val="1061170076"/>
          <w:cantSplit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14:paraId="4A83C9E7" w14:textId="77777777" w:rsidR="00DB3EE5" w:rsidRDefault="006122DB">
            <w:pPr>
              <w:divId w:val="955140122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Workload in simulation</w:t>
            </w:r>
          </w:p>
        </w:tc>
      </w:tr>
      <w:tr w:rsidR="00DB3EE5" w14:paraId="6471D92A" w14:textId="77777777">
        <w:trPr>
          <w:divId w:val="1061170076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B03CE" w14:textId="77777777" w:rsidR="00DB3EE5" w:rsidRDefault="006122DB">
            <w:pPr>
              <w:jc w:val="center"/>
              <w:divId w:val="54599489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DDBCF" w14:textId="77777777" w:rsidR="00DB3EE5" w:rsidRDefault="006122DB">
            <w:pPr>
              <w:jc w:val="center"/>
              <w:divId w:val="97179209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69C92" w14:textId="77777777" w:rsidR="00DB3EE5" w:rsidRDefault="006122DB">
            <w:pPr>
              <w:jc w:val="center"/>
              <w:divId w:val="63564181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very 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k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156FE" w14:textId="77777777" w:rsidR="00DB3EE5" w:rsidRDefault="006122DB">
            <w:pPr>
              <w:jc w:val="center"/>
              <w:divId w:val="201748901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l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332D3" w14:textId="77777777" w:rsidR="00DB3EE5" w:rsidRDefault="006122DB">
            <w:pPr>
              <w:jc w:val="center"/>
              <w:divId w:val="34945483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1BFB6" w14:textId="77777777" w:rsidR="00DB3EE5" w:rsidRDefault="006122DB">
            <w:pPr>
              <w:jc w:val="center"/>
              <w:divId w:val="184624201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m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49B03" w14:textId="77777777" w:rsidR="00DB3EE5" w:rsidRPr="00372ED4" w:rsidRDefault="006122DB" w:rsidP="009B76CC">
            <w:pPr>
              <w:jc w:val="center"/>
              <w:divId w:val="2027559030"/>
              <w:rPr>
                <w:rFonts w:ascii="Arial Narrow" w:eastAsia="Times New Roman" w:hAnsi="Arial Narrow"/>
                <w:sz w:val="13"/>
                <w:szCs w:val="13"/>
                <w:lang w:val="en-US"/>
              </w:rPr>
            </w:pPr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>all plausible residual confounding would suggest spurious effect, while no effect was observed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B792A" w14:textId="77777777" w:rsidR="00DB3EE5" w:rsidRDefault="006122DB" w:rsidP="009B76CC">
            <w:pPr>
              <w:divId w:val="1870600706"/>
              <w:rPr>
                <w:rFonts w:ascii="Arial Narrow" w:eastAsia="Times New Roman" w:hAnsi="Arial Narrow"/>
                <w:sz w:val="13"/>
                <w:szCs w:val="13"/>
              </w:rPr>
            </w:pPr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Tofil 2020 found that workload for team leaders measured using the NASA TLX questionnaire was 54.1 (9.8) vs 52.7 (11.6) for teams without vs with a coach, difference: 1.4 (–5.5 to 8.3). There was also no difference for chest compressors: 55.2 (11.2) vs. 55.6 (9.1), diff: 0.4 (–4.9 to 4.2). For chest compressors, there was lower mental demand and higher physical demand for coached </w:t>
            </w:r>
            <w:proofErr w:type="gramStart"/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>teams</w:t>
            </w:r>
            <w:proofErr w:type="gramEnd"/>
            <w:r w:rsidRPr="00372ED4">
              <w:rPr>
                <w:rFonts w:ascii="Arial Narrow" w:eastAsia="Times New Roman" w:hAnsi="Arial Narrow"/>
                <w:sz w:val="13"/>
                <w:szCs w:val="13"/>
                <w:lang w:val="en-US"/>
              </w:rPr>
              <w:t xml:space="preserve"> vs non-coached teams. Badke 2020 found no significant differences on any subscales of the NASA TLX for team leaders between the coached vs. non-coached teams. 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t>No overall NASA TLX measurement was conducted.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40725" w14:textId="77777777" w:rsidR="00DB3EE5" w:rsidRDefault="006122DB">
            <w:pPr>
              <w:jc w:val="center"/>
              <w:divId w:val="118273914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⨁◯◯◯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Very low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k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l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m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C37A" w14:textId="77777777" w:rsidR="00DB3EE5" w:rsidRDefault="006122DB">
            <w:pPr>
              <w:jc w:val="center"/>
              <w:divId w:val="151965772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</w:tbl>
    <w:p w14:paraId="7EA50E49" w14:textId="77777777" w:rsidR="00DB3EE5" w:rsidRDefault="006122DB" w:rsidP="009B76CC">
      <w:pPr>
        <w:pStyle w:val="NormalWeb"/>
        <w:spacing w:line="140" w:lineRule="atLeast"/>
        <w:divId w:val="1061170076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CI: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confidence interval</w:t>
      </w:r>
    </w:p>
    <w:p w14:paraId="1D220FF1" w14:textId="77777777" w:rsidR="00DB3EE5" w:rsidRDefault="006122DB" w:rsidP="009B76CC">
      <w:pPr>
        <w:pStyle w:val="Heading4"/>
        <w:spacing w:line="140" w:lineRule="atLeast"/>
        <w:rPr>
          <w:rFonts w:ascii="Arial Narrow" w:eastAsia="Times New Roman" w:hAnsi="Arial Narrow"/>
          <w:color w:val="000000"/>
          <w:lang w:val="en"/>
        </w:rPr>
      </w:pPr>
      <w:r>
        <w:rPr>
          <w:rFonts w:ascii="Arial Narrow" w:eastAsia="Times New Roman" w:hAnsi="Arial Narrow"/>
          <w:color w:val="000000"/>
          <w:lang w:val="en"/>
        </w:rPr>
        <w:t>Explanations</w:t>
      </w:r>
    </w:p>
    <w:p w14:paraId="3ECA48F9" w14:textId="77777777" w:rsidR="00DB3EE5" w:rsidRDefault="006122DB" w:rsidP="009B76CC">
      <w:pPr>
        <w:spacing w:line="140" w:lineRule="atLeast"/>
        <w:divId w:val="607664836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a. High risk of bias for </w:t>
      </w:r>
      <w:proofErr w:type="spellStart"/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Badke</w:t>
      </w:r>
      <w:proofErr w:type="spellEnd"/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 2020 and Kessler 2021 with some concerns for Cheng 2018.</w:t>
      </w:r>
    </w:p>
    <w:p w14:paraId="715E49AD" w14:textId="77777777" w:rsidR="00DB3EE5" w:rsidRDefault="006122DB" w:rsidP="009B76CC">
      <w:pPr>
        <w:spacing w:line="140" w:lineRule="atLeast"/>
        <w:divId w:val="2077512684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b. One before-after observational study without an external comparator. </w:t>
      </w:r>
    </w:p>
    <w:p w14:paraId="493D6E27" w14:textId="77777777" w:rsidR="00DB3EE5" w:rsidRDefault="006122DB" w:rsidP="009B76CC">
      <w:pPr>
        <w:spacing w:line="140" w:lineRule="atLeast"/>
        <w:divId w:val="340396425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c. Intervention included a CPR Coach but also training and optimization of team </w:t>
      </w:r>
      <w:proofErr w:type="spellStart"/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ergnonomics</w:t>
      </w:r>
      <w:proofErr w:type="spellEnd"/>
    </w:p>
    <w:p w14:paraId="54B7B532" w14:textId="77777777" w:rsidR="00DB3EE5" w:rsidRDefault="006122DB" w:rsidP="009B76CC">
      <w:pPr>
        <w:spacing w:line="140" w:lineRule="atLeast"/>
        <w:divId w:val="1313949672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d. Only one study with uncertainty of the confidence intervals</w:t>
      </w:r>
    </w:p>
    <w:p w14:paraId="26AF0FA4" w14:textId="77777777" w:rsidR="00DB3EE5" w:rsidRDefault="006122DB" w:rsidP="009B76CC">
      <w:pPr>
        <w:spacing w:line="140" w:lineRule="atLeast"/>
        <w:divId w:val="756823525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e. Evidence stems from 2 trials only of which </w:t>
      </w:r>
      <w:proofErr w:type="spellStart"/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Badke</w:t>
      </w:r>
      <w:proofErr w:type="spellEnd"/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 2020 is a very small study finding no significant differences in several outcomes which may be due to an underpowered study design. </w:t>
      </w:r>
    </w:p>
    <w:p w14:paraId="24F7BD34" w14:textId="77777777" w:rsidR="00DB3EE5" w:rsidRDefault="006122DB" w:rsidP="009B76CC">
      <w:pPr>
        <w:spacing w:line="140" w:lineRule="atLeast"/>
        <w:divId w:val="903874202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f. risk of bias in outcome assessment</w:t>
      </w:r>
    </w:p>
    <w:p w14:paraId="4F223753" w14:textId="77777777" w:rsidR="00DB3EE5" w:rsidRDefault="006122DB" w:rsidP="009B76CC">
      <w:pPr>
        <w:spacing w:line="140" w:lineRule="atLeast"/>
        <w:divId w:val="1097210768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g. Measured using the clinical performance tool, which is a tool to assess CPR performance in simulated settings (a proxy for guideline adherence).</w:t>
      </w:r>
    </w:p>
    <w:p w14:paraId="6EB15745" w14:textId="77777777" w:rsidR="00DB3EE5" w:rsidRDefault="006122DB" w:rsidP="009B76CC">
      <w:pPr>
        <w:spacing w:line="140" w:lineRule="atLeast"/>
        <w:divId w:val="1849296659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h. Some concerns in risk of bias rated for this study.</w:t>
      </w:r>
    </w:p>
    <w:p w14:paraId="246DF664" w14:textId="77777777" w:rsidR="00DB3EE5" w:rsidRDefault="006122DB" w:rsidP="009B76CC">
      <w:pPr>
        <w:spacing w:line="140" w:lineRule="atLeast"/>
        <w:divId w:val="1709866361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i. Teamwork only assessed as number of words with no outcome measures of e.g. leadership, perceived communication effectiveness or task allocation.</w:t>
      </w:r>
    </w:p>
    <w:p w14:paraId="29922BA1" w14:textId="77777777" w:rsidR="00DB3EE5" w:rsidRDefault="006122DB" w:rsidP="009B76CC">
      <w:pPr>
        <w:spacing w:line="140" w:lineRule="atLeast"/>
        <w:divId w:val="820733541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j. Evidence from one study only not reporting confidence intervals for the outcomes. </w:t>
      </w:r>
    </w:p>
    <w:p w14:paraId="67A07609" w14:textId="77777777" w:rsidR="00DB3EE5" w:rsidRDefault="006122DB" w:rsidP="009B76CC">
      <w:pPr>
        <w:spacing w:line="140" w:lineRule="atLeast"/>
        <w:divId w:val="1618029791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lastRenderedPageBreak/>
        <w:t>k. High risk of bias rated for both studies</w:t>
      </w:r>
    </w:p>
    <w:p w14:paraId="11DD1A1A" w14:textId="77777777" w:rsidR="00DB3EE5" w:rsidRDefault="006122DB" w:rsidP="009B76CC">
      <w:pPr>
        <w:spacing w:line="140" w:lineRule="atLeast"/>
        <w:divId w:val="2139956187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l. Although both studies showed comparable between-group results, there was unexplained and very large differences in the level of workload when looking at the two studies. </w:t>
      </w:r>
    </w:p>
    <w:p w14:paraId="6A3F2153" w14:textId="77777777" w:rsidR="006122DB" w:rsidRDefault="006122DB" w:rsidP="009B76CC">
      <w:pPr>
        <w:spacing w:line="140" w:lineRule="atLeast"/>
        <w:divId w:val="254631658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m. Evidence from two studies with one of them being very small and underpowered to show differences in outcomes. </w:t>
      </w:r>
    </w:p>
    <w:sectPr w:rsidR="006122DB">
      <w:pgSz w:w="15840" w:h="12240" w:orient="landscape"/>
      <w:pgMar w:top="720" w:right="720" w:bottom="720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9F"/>
    <w:rsid w:val="00087B9F"/>
    <w:rsid w:val="000D0CB4"/>
    <w:rsid w:val="00372ED4"/>
    <w:rsid w:val="003E08E6"/>
    <w:rsid w:val="004D3F7A"/>
    <w:rsid w:val="006122DB"/>
    <w:rsid w:val="009B76CC"/>
    <w:rsid w:val="00DB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7ED7"/>
  <w15:docId w15:val="{22F6A991-D7AA-8A48-B4FA-F6854A3F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label">
    <w:name w:val="label"/>
    <w:basedOn w:val="DefaultParagraphFont"/>
  </w:style>
  <w:style w:type="character" w:customStyle="1" w:styleId="quality-sign">
    <w:name w:val="quality-sign"/>
    <w:basedOn w:val="DefaultParagraphFont"/>
  </w:style>
  <w:style w:type="character" w:customStyle="1" w:styleId="quality-text">
    <w:name w:val="quality-text"/>
    <w:basedOn w:val="DefaultParagraphFont"/>
  </w:style>
  <w:style w:type="character" w:customStyle="1" w:styleId="comma">
    <w:name w:val="comma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1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7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 Glerup Lauridsen</dc:creator>
  <cp:lastModifiedBy>William Montgomery</cp:lastModifiedBy>
  <cp:revision>2</cp:revision>
  <dcterms:created xsi:type="dcterms:W3CDTF">2024-12-09T18:51:00Z</dcterms:created>
  <dcterms:modified xsi:type="dcterms:W3CDTF">2024-12-09T18:51:00Z</dcterms:modified>
</cp:coreProperties>
</file>