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1600"/>
        <w:gridCol w:w="12784"/>
      </w:tblGrid>
      <w:tr w:rsidR="00D92784" w:rsidRPr="001E0F0C" w14:paraId="0678BFCC" w14:textId="77777777">
        <w:trPr>
          <w:divId w:val="1523936527"/>
          <w:cantSplit/>
          <w:tblHeader/>
        </w:trPr>
        <w:tc>
          <w:tcPr>
            <w:tcW w:w="0" w:type="auto"/>
            <w:gridSpan w:val="2"/>
            <w:tcMar>
              <w:top w:w="0" w:type="dxa"/>
              <w:left w:w="0" w:type="dxa"/>
              <w:bottom w:w="0" w:type="dxa"/>
              <w:right w:w="0" w:type="dxa"/>
            </w:tcMar>
            <w:hideMark/>
          </w:tcPr>
          <w:p w14:paraId="60610E91" w14:textId="77777777" w:rsidR="00D92784" w:rsidRPr="001E0F0C" w:rsidRDefault="00B909BD">
            <w:pPr>
              <w:pStyle w:val="Heading1"/>
              <w:keepNext/>
              <w:spacing w:after="20" w:afterAutospacing="0" w:line="240" w:lineRule="atLeast"/>
              <w:rPr>
                <w:rFonts w:asciiTheme="minorHAnsi" w:eastAsia="Times New Roman" w:hAnsiTheme="minorHAnsi" w:cstheme="minorHAnsi"/>
                <w:caps/>
                <w:sz w:val="30"/>
                <w:szCs w:val="30"/>
              </w:rPr>
            </w:pPr>
            <w:r>
              <w:rPr>
                <w:rFonts w:asciiTheme="minorHAnsi" w:eastAsia="Times New Roman" w:hAnsiTheme="minorHAnsi" w:cstheme="minorHAnsi"/>
                <w:caps/>
                <w:sz w:val="30"/>
                <w:szCs w:val="30"/>
              </w:rPr>
              <w:t>Question</w:t>
            </w:r>
          </w:p>
        </w:tc>
      </w:tr>
      <w:tr w:rsidR="00D92784" w:rsidRPr="001E0F0C" w14:paraId="1F34A9C4" w14:textId="77777777" w:rsidTr="004217B3">
        <w:trPr>
          <w:divId w:val="1523936527"/>
          <w:cantSplit/>
        </w:trPr>
        <w:tc>
          <w:tcPr>
            <w:tcW w:w="1600" w:type="dxa"/>
            <w:shd w:val="clear" w:color="auto" w:fill="2E74B5"/>
            <w:tcMar>
              <w:top w:w="75" w:type="dxa"/>
              <w:left w:w="75" w:type="dxa"/>
              <w:bottom w:w="75" w:type="dxa"/>
              <w:right w:w="75" w:type="dxa"/>
            </w:tcMar>
            <w:hideMark/>
          </w:tcPr>
          <w:p w14:paraId="6162B6E5" w14:textId="77777777" w:rsidR="00D92784" w:rsidRPr="001E0F0C" w:rsidRDefault="00B909BD">
            <w:pPr>
              <w:pStyle w:val="section-name"/>
              <w:spacing w:before="0" w:beforeAutospacing="0" w:after="0" w:afterAutospacing="0" w:line="240" w:lineRule="atLeast"/>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Population:</w:t>
            </w:r>
          </w:p>
        </w:tc>
        <w:tc>
          <w:tcPr>
            <w:tcW w:w="12800" w:type="dxa"/>
            <w:tcMar>
              <w:top w:w="75" w:type="dxa"/>
              <w:left w:w="75" w:type="dxa"/>
              <w:bottom w:w="75" w:type="dxa"/>
              <w:right w:w="75" w:type="dxa"/>
            </w:tcMar>
            <w:hideMark/>
          </w:tcPr>
          <w:p w14:paraId="230F5B77" w14:textId="77777777" w:rsidR="008A43FC" w:rsidRDefault="00DC51F6">
            <w:r>
              <w:rPr>
                <w:rFonts w:ascii="Calibri" w:hAnsi="Calibri"/>
                <w:sz w:val="18"/>
              </w:rPr>
              <w:t xml:space="preserve">All patients with out-of-hospital cardiac arrest (adult and pediatric patients; neonatal OHCA is outside the scope of this review)</w:t>
            </w:r>
          </w:p>
        </w:tc>
      </w:tr>
      <w:tr w:rsidR="00D92784" w:rsidRPr="001E0F0C" w14:paraId="29C01B01" w14:textId="77777777" w:rsidTr="004217B3">
        <w:trPr>
          <w:divId w:val="1523936527"/>
          <w:cantSplit/>
        </w:trPr>
        <w:tc>
          <w:tcPr>
            <w:tcW w:w="1600" w:type="dxa"/>
            <w:shd w:val="clear" w:color="auto" w:fill="2E74B5"/>
            <w:tcMar>
              <w:top w:w="75" w:type="dxa"/>
              <w:left w:w="75" w:type="dxa"/>
              <w:bottom w:w="75" w:type="dxa"/>
              <w:right w:w="75" w:type="dxa"/>
            </w:tcMar>
            <w:hideMark/>
          </w:tcPr>
          <w:p w14:paraId="42618D42" w14:textId="77777777" w:rsidR="00D92784" w:rsidRPr="001E0F0C" w:rsidRDefault="00B909BD">
            <w:pPr>
              <w:pStyle w:val="section-name"/>
              <w:spacing w:before="0" w:beforeAutospacing="0" w:after="0" w:afterAutospacing="0" w:line="240" w:lineRule="atLeast"/>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Intervention:</w:t>
            </w:r>
          </w:p>
        </w:tc>
        <w:tc>
          <w:tcPr>
            <w:tcW w:w="12800" w:type="dxa"/>
            <w:tcMar>
              <w:top w:w="75" w:type="dxa"/>
              <w:left w:w="75" w:type="dxa"/>
              <w:bottom w:w="75" w:type="dxa"/>
              <w:right w:w="75" w:type="dxa"/>
            </w:tcMar>
            <w:hideMark/>
          </w:tcPr>
          <w:p w14:paraId="3374FAA3" w14:textId="77777777" w:rsidR="008A43FC" w:rsidRDefault="00DC51F6">
            <w:r>
              <w:rPr>
                <w:sz w:val="18"/>
              </w:rPr>
              <w:t>Notification of community responders by mobile technology (smartphone application, text message or GPS-enabled dispatch), issued with emergency medical dispatch</w:t>
            </w:r>
          </w:p>
        </w:tc>
      </w:tr>
      <w:tr w:rsidR="00D92784" w:rsidRPr="001E0F0C" w14:paraId="5ECACE25" w14:textId="77777777" w:rsidTr="004217B3">
        <w:trPr>
          <w:divId w:val="1523936527"/>
          <w:cantSplit/>
        </w:trPr>
        <w:tc>
          <w:tcPr>
            <w:tcW w:w="1600" w:type="dxa"/>
            <w:shd w:val="clear" w:color="auto" w:fill="2E74B5"/>
            <w:tcMar>
              <w:top w:w="75" w:type="dxa"/>
              <w:left w:w="75" w:type="dxa"/>
              <w:bottom w:w="75" w:type="dxa"/>
              <w:right w:w="75" w:type="dxa"/>
            </w:tcMar>
            <w:hideMark/>
          </w:tcPr>
          <w:p w14:paraId="49D8BC65" w14:textId="77777777" w:rsidR="00D92784" w:rsidRPr="001E0F0C" w:rsidRDefault="00B909BD">
            <w:pPr>
              <w:pStyle w:val="section-name"/>
              <w:spacing w:before="0" w:beforeAutospacing="0" w:after="0" w:afterAutospacing="0" w:line="240" w:lineRule="atLeast"/>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Comparison:</w:t>
            </w:r>
          </w:p>
        </w:tc>
        <w:tc>
          <w:tcPr>
            <w:tcW w:w="12800" w:type="dxa"/>
            <w:tcMar>
              <w:top w:w="75" w:type="dxa"/>
              <w:left w:w="75" w:type="dxa"/>
              <w:bottom w:w="75" w:type="dxa"/>
              <w:right w:w="75" w:type="dxa"/>
            </w:tcMar>
            <w:hideMark/>
          </w:tcPr>
          <w:p w14:paraId="1AC05007" w14:textId="77777777" w:rsidR="008A43FC" w:rsidRDefault="00DC51F6">
            <w:r>
              <w:rPr>
                <w:sz w:val="18"/>
              </w:rPr>
              <w:t>No notification</w:t>
            </w:r>
          </w:p>
        </w:tc>
      </w:tr>
      <w:tr w:rsidR="00D92784" w:rsidRPr="001E0F0C" w14:paraId="00525EA2" w14:textId="77777777" w:rsidTr="004217B3">
        <w:trPr>
          <w:divId w:val="1523936527"/>
          <w:cantSplit/>
        </w:trPr>
        <w:tc>
          <w:tcPr>
            <w:tcW w:w="1600" w:type="dxa"/>
            <w:shd w:val="clear" w:color="auto" w:fill="2E74B5"/>
            <w:tcMar>
              <w:top w:w="75" w:type="dxa"/>
              <w:left w:w="75" w:type="dxa"/>
              <w:bottom w:w="75" w:type="dxa"/>
              <w:right w:w="75" w:type="dxa"/>
            </w:tcMar>
            <w:hideMark/>
          </w:tcPr>
          <w:p w14:paraId="255344B9" w14:textId="77777777" w:rsidR="00D92784" w:rsidRPr="001E0F0C" w:rsidRDefault="00B909BD">
            <w:pPr>
              <w:pStyle w:val="section-name"/>
              <w:spacing w:before="0" w:beforeAutospacing="0" w:after="0" w:afterAutospacing="0" w:line="240" w:lineRule="atLeast"/>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Main outcomes:</w:t>
            </w:r>
          </w:p>
        </w:tc>
        <w:tc>
          <w:tcPr>
            <w:tcW w:w="12800" w:type="dxa"/>
            <w:tcMar>
              <w:top w:w="75" w:type="dxa"/>
              <w:left w:w="75" w:type="dxa"/>
              <w:bottom w:w="75" w:type="dxa"/>
              <w:right w:w="75" w:type="dxa"/>
            </w:tcMar>
            <w:hideMark/>
          </w:tcPr>
          <w:p w14:paraId="06803A89" w14:textId="77777777" w:rsidR="008A43FC" w:rsidRDefault="00DC51F6">
            <w:r>
              <w:rPr>
                <w:rFonts w:ascii="Calibri" w:hAnsi="Calibri"/>
                <w:sz w:val="18"/>
              </w:rPr>
              <w:t>Critical: survival to hospital discharge; survival with favorable neurological outcome; 30-day survival. Important: ROSC; bystander CPR; bystander defibrillation; time to first compression or shock.</w:t>
            </w:r>
          </w:p>
        </w:tc>
      </w:tr>
      <w:tr w:rsidR="00D92784" w:rsidRPr="001E0F0C" w14:paraId="4037B32F" w14:textId="77777777" w:rsidTr="004217B3">
        <w:trPr>
          <w:divId w:val="1523936527"/>
          <w:cantSplit/>
        </w:trPr>
        <w:tc>
          <w:tcPr>
            <w:tcW w:w="1600" w:type="dxa"/>
            <w:shd w:val="clear" w:color="auto" w:fill="2E74B5"/>
            <w:tcMar>
              <w:top w:w="75" w:type="dxa"/>
              <w:left w:w="75" w:type="dxa"/>
              <w:bottom w:w="75" w:type="dxa"/>
              <w:right w:w="75" w:type="dxa"/>
            </w:tcMar>
            <w:hideMark/>
          </w:tcPr>
          <w:p w14:paraId="73051D8D" w14:textId="77777777" w:rsidR="00D92784" w:rsidRPr="001E0F0C" w:rsidRDefault="00B909BD">
            <w:pPr>
              <w:pStyle w:val="section-name"/>
              <w:spacing w:before="0" w:beforeAutospacing="0" w:after="0" w:afterAutospacing="0" w:line="240" w:lineRule="atLeast"/>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Setting:</w:t>
            </w:r>
          </w:p>
        </w:tc>
        <w:tc>
          <w:tcPr>
            <w:tcW w:w="12800" w:type="dxa"/>
            <w:tcMar>
              <w:top w:w="75" w:type="dxa"/>
              <w:left w:w="75" w:type="dxa"/>
              <w:bottom w:w="75" w:type="dxa"/>
              <w:right w:w="75" w:type="dxa"/>
            </w:tcMar>
            <w:hideMark/>
          </w:tcPr>
          <w:p w14:paraId="264BACFA" w14:textId="77777777" w:rsidR="008A43FC" w:rsidRDefault="00DC51F6">
            <w:r>
              <w:rPr>
                <w:rFonts w:ascii="Calibri" w:hAnsi="Calibri"/>
                <w:sz w:val="18"/>
              </w:rPr>
              <w:t>Out-of-hospital; all included evidence is from high-income EMS systems</w:t>
            </w:r>
          </w:p>
        </w:tc>
      </w:tr>
      <w:tr w:rsidR="00D92784" w:rsidRPr="001E0F0C" w14:paraId="6918BDF5" w14:textId="77777777" w:rsidTr="004217B3">
        <w:trPr>
          <w:divId w:val="1523936527"/>
          <w:cantSplit/>
        </w:trPr>
        <w:tc>
          <w:tcPr>
            <w:tcW w:w="1600" w:type="dxa"/>
            <w:shd w:val="clear" w:color="auto" w:fill="2E74B5"/>
            <w:tcMar>
              <w:top w:w="75" w:type="dxa"/>
              <w:left w:w="75" w:type="dxa"/>
              <w:bottom w:w="75" w:type="dxa"/>
              <w:right w:w="75" w:type="dxa"/>
            </w:tcMar>
            <w:hideMark/>
          </w:tcPr>
          <w:p w14:paraId="33E1ED0A" w14:textId="77777777" w:rsidR="00D92784" w:rsidRPr="001E0F0C" w:rsidRDefault="00B909BD">
            <w:pPr>
              <w:pStyle w:val="section-name"/>
              <w:spacing w:before="0" w:beforeAutospacing="0" w:after="0" w:afterAutospacing="0" w:line="240" w:lineRule="atLeast"/>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Perspective:</w:t>
            </w:r>
          </w:p>
        </w:tc>
        <w:tc>
          <w:tcPr>
            <w:tcW w:w="12800" w:type="dxa"/>
            <w:tcMar>
              <w:top w:w="75" w:type="dxa"/>
              <w:left w:w="75" w:type="dxa"/>
              <w:bottom w:w="75" w:type="dxa"/>
              <w:right w:w="75" w:type="dxa"/>
            </w:tcMar>
            <w:hideMark/>
          </w:tcPr>
          <w:p w14:paraId="7D4F5FBD" w14:textId="77777777" w:rsidR="008A43FC" w:rsidRDefault="00DC51F6">
            <w:r>
              <w:rPr>
                <w:rFonts w:ascii="Calibri" w:hAnsi="Calibri"/>
                <w:sz w:val="18"/>
              </w:rPr>
              <w:t>Health-system / population perspective</w:t>
            </w:r>
          </w:p>
        </w:tc>
      </w:tr>
      <w:tr w:rsidR="00D92784" w:rsidRPr="001E0F0C" w14:paraId="4FCD203C" w14:textId="77777777" w:rsidTr="004217B3">
        <w:trPr>
          <w:divId w:val="1523936527"/>
          <w:cantSplit/>
        </w:trPr>
        <w:tc>
          <w:tcPr>
            <w:tcW w:w="1600" w:type="dxa"/>
            <w:shd w:val="clear" w:color="auto" w:fill="2E74B5"/>
            <w:tcMar>
              <w:top w:w="75" w:type="dxa"/>
              <w:left w:w="75" w:type="dxa"/>
              <w:bottom w:w="75" w:type="dxa"/>
              <w:right w:w="75" w:type="dxa"/>
            </w:tcMar>
            <w:hideMark/>
          </w:tcPr>
          <w:p w14:paraId="753C5A36" w14:textId="77777777" w:rsidR="00D92784" w:rsidRPr="001E0F0C" w:rsidRDefault="00B909BD">
            <w:pPr>
              <w:pStyle w:val="section-name"/>
              <w:spacing w:before="0" w:beforeAutospacing="0" w:after="0" w:afterAutospacing="0" w:line="240" w:lineRule="atLeast"/>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Background:</w:t>
            </w:r>
          </w:p>
        </w:tc>
        <w:tc>
          <w:tcPr>
            <w:tcW w:w="12800" w:type="dxa"/>
            <w:tcMar>
              <w:top w:w="75" w:type="dxa"/>
              <w:left w:w="75" w:type="dxa"/>
              <w:bottom w:w="75" w:type="dxa"/>
              <w:right w:w="75" w:type="dxa"/>
            </w:tcMar>
            <w:hideMark/>
          </w:tcPr>
          <w:p w14:paraId="275DAD46" w14:textId="77777777" w:rsidR="008A43FC" w:rsidRDefault="00DC51F6">
            <w:r>
              <w:rPr>
                <w:sz w:val="18"/>
              </w:rPr>
              <w:t xml:space="preserve">Update of ILCOR EIT 878 (2015 CoSTR: weak recommendation; 2020 CoSTR: strong recommendation, very-low-certainty evidence).</w:t>
            </w:r>
            <w:r>
              <w:rPr>
                <w:sz w:val="18"/>
                <w:vertAlign w:val="superscript"/>
              </w:rPr>
              <w:t xml:space="preserve">1,2</w:t>
            </w:r>
            <w:r>
              <w:rPr>
                <w:sz w:val="18"/>
              </w:rPr>
              <w:t xml:space="preserve"> Search updated 4 September 2026. 16 studies in 21 reports are included: of 228 reports assessed in full text, 207 were excluded, 13 of them because their only comparisons formed groups after the alert (responder arrived or not; who started CPR), which is not the PICOST comparator. The synthesis has two layers</w:t>
            </w:r>
            <w:r>
              <w:rPr>
                <w:sz w:val="18"/>
              </w:rPr>
              <w:t xml:space="preserve">: system level (with versus without a notification system: before–after studies pooled; the RCT, Ringh 2015</w:t>
            </w:r>
            <w:r>
              <w:rPr>
                <w:sz w:val="18"/>
                <w:vertAlign w:val="superscript"/>
              </w:rPr>
              <w:t xml:space="preserve">3</w:t>
            </w:r>
            <w:r>
              <w:rPr>
                <w:sz w:val="18"/>
              </w:rPr>
              <w:t xml:space="preserve">, shown separately and not pooled) and individual level (alert sent versus not, within an operating system). Head-to-head comparisons of dispatch strategies (the Swedish AED and Mobile Bystander Activation trial, SAMBA</w:t>
            </w:r>
            <w:r>
              <w:rPr>
                <w:sz w:val="18"/>
                <w:vertAlign w:val="superscript"/>
              </w:rPr>
              <w:t xml:space="preserve">4</w:t>
            </w:r>
            <w:r>
              <w:rPr>
                <w:sz w:val="18"/>
              </w:rPr>
              <w:t xml:space="preserve">; Caputo 2017</w:t>
            </w:r>
            <w:r>
              <w:rPr>
                <w:sz w:val="18"/>
                <w:vertAlign w:val="superscript"/>
              </w:rPr>
              <w:t xml:space="preserve">5</w:t>
            </w:r>
            <w:r>
              <w:rPr>
                <w:sz w:val="18"/>
              </w:rPr>
              <w:t xml:space="preserve">) are a prespecified subgroup and do not inform this question. Registered doi:10.17605/OSF.IO/ANCQJ. DRAFT for SAC approval, revised 26 October 2026.</w:t>
            </w:r>
          </w:p>
        </w:tc>
      </w:tr>
      <w:tr w:rsidR="00D92784" w:rsidRPr="001E0F0C" w14:paraId="75F9098E" w14:textId="77777777" w:rsidTr="004217B3">
        <w:trPr>
          <w:divId w:val="1523936527"/>
          <w:cantSplit/>
        </w:trPr>
        <w:tc>
          <w:tcPr>
            <w:tcW w:w="1600" w:type="dxa"/>
            <w:shd w:val="clear" w:color="auto" w:fill="2E74B5"/>
            <w:tcMar>
              <w:top w:w="75" w:type="dxa"/>
              <w:left w:w="75" w:type="dxa"/>
              <w:bottom w:w="75" w:type="dxa"/>
              <w:right w:w="75" w:type="dxa"/>
            </w:tcMar>
            <w:hideMark/>
          </w:tcPr>
          <w:p w14:paraId="0B5A746B" w14:textId="77777777" w:rsidR="00D92784" w:rsidRPr="001E0F0C" w:rsidRDefault="00B909BD">
            <w:pPr>
              <w:pStyle w:val="section-name"/>
              <w:spacing w:before="0" w:beforeAutospacing="0" w:after="0" w:afterAutospacing="0" w:line="240" w:lineRule="atLeast"/>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Conflict of interests:</w:t>
            </w:r>
          </w:p>
        </w:tc>
        <w:tc>
          <w:tcPr>
            <w:tcW w:w="12800" w:type="dxa"/>
            <w:tcMar>
              <w:top w:w="75" w:type="dxa"/>
              <w:left w:w="75" w:type="dxa"/>
              <w:bottom w:w="75" w:type="dxa"/>
              <w:right w:w="75" w:type="dxa"/>
            </w:tcMar>
            <w:hideMark/>
          </w:tcPr>
          <w:p w14:paraId="2830DF73" w14:textId="77777777" w:rsidR="008A43FC" w:rsidRDefault="00DC51F6">
            <w:r>
              <w:rPr>
                <w:rFonts w:ascii="Calibri" w:hAnsi="Calibri"/>
                <w:sz w:val="18"/>
              </w:rPr>
              <w:t>None applicable: no member of the review team is an author of an included study. Members of the review team co-authored the 2020 CoSTR, the 2022 meta-analysis (RG) and the ERC 2025 guideline (AL), with which this review's findings are compared. Conflict-of-interest declarations follow the ILCOR process and are held by ILCOR.</w:t>
            </w:r>
          </w:p>
        </w:tc>
      </w:tr>
    </w:tbl>
    <w:p w14:paraId="6DF07110" w14:textId="77777777" w:rsidR="00D92784" w:rsidRPr="001E0F0C" w:rsidRDefault="00B909BD">
      <w:pPr>
        <w:pStyle w:val="Heading1"/>
        <w:keepNext/>
        <w:spacing w:after="20" w:afterAutospacing="0"/>
        <w:divId w:val="1131899364"/>
        <w:rPr>
          <w:rFonts w:asciiTheme="minorHAnsi" w:eastAsia="Times New Roman" w:hAnsiTheme="minorHAnsi" w:cstheme="minorHAnsi"/>
          <w:caps/>
          <w:color w:val="000000"/>
          <w:sz w:val="30"/>
          <w:szCs w:val="30"/>
          <w:lang w:val="en"/>
        </w:rPr>
      </w:pPr>
      <w:r>
        <w:rPr>
          <w:rFonts w:asciiTheme="minorHAnsi" w:eastAsia="Times New Roman" w:hAnsiTheme="minorHAnsi" w:cstheme="minorHAnsi"/>
          <w:caps/>
          <w:color w:val="000000"/>
          <w:sz w:val="30"/>
          <w:szCs w:val="30"/>
          <w:lang w:val="en"/>
        </w:rPr>
        <w:t>Assessment</w:t>
      </w:r>
    </w:p>
    <w:tbl>
      <w:tblPr>
        <w:tblW w:w="5000" w:type="pct"/>
        <w:tblCellMar>
          <w:top w:w="15" w:type="dxa"/>
          <w:left w:w="15" w:type="dxa"/>
          <w:bottom w:w="15" w:type="dxa"/>
          <w:right w:w="15" w:type="dxa"/>
        </w:tblCellMar>
        <w:tblLook w:val="04A0" w:firstRow="1" w:lastRow="0" w:firstColumn="1" w:lastColumn="0" w:noHBand="0" w:noVBand="1"/>
      </w:tblPr>
      <w:tblGrid>
        <w:gridCol w:w="3200"/>
        <w:gridCol w:w="6784"/>
        <w:gridCol w:w="4400"/>
      </w:tblGrid>
      <w:tr w:rsidR="00D92784" w:rsidRPr="001E0F0C" w14:paraId="16592A49"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3C2E62FB" w14:textId="77777777" w:rsidR="00D92784" w:rsidRPr="001E0F0C" w:rsidRDefault="00B909BD">
            <w:pPr>
              <w:pStyle w:val="Heading2"/>
              <w:keepNext/>
              <w:spacing w:before="0" w:beforeAutospacing="0" w:after="0" w:afterAutospacing="0" w:line="240" w:lineRule="atLeast"/>
              <w:divId w:val="330378982"/>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Problem</w:t>
            </w:r>
          </w:p>
          <w:p w14:paraId="5A980DE0" w14:textId="77777777" w:rsidR="00D92784" w:rsidRPr="001E0F0C" w:rsidRDefault="00B909BD">
            <w:pPr>
              <w:pStyle w:val="Sottotitolo1"/>
              <w:keepNext/>
              <w:spacing w:before="0" w:beforeAutospacing="0" w:after="0" w:afterAutospacing="0" w:line="240" w:lineRule="atLeast"/>
              <w:divId w:val="330378982"/>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Is the problem a priority?</w:t>
            </w:r>
          </w:p>
        </w:tc>
      </w:tr>
      <w:tr w:rsidR="00D92784" w:rsidRPr="001E0F0C" w14:paraId="1FF1257E"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5B7F92D"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DDF1834"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2B04919"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54B889E2"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1380B59" w14:textId="77777777" w:rsidR="008A43FC" w:rsidRDefault="00DC51F6">
            <w:r>
              <w:rPr>
                <w:sz w:val="18"/>
              </w:rPr>
              <w:t>○ No</w:t>
            </w:r>
          </w:p>
          <w:p w14:paraId="5E180E20" w14:textId="77777777" w:rsidR="00B84697" w:rsidRDefault="00DC51F6">
            <w:r>
              <w:rPr>
                <w:sz w:val="18"/>
              </w:rPr>
              <w:t>○ Probably no</w:t>
            </w:r>
          </w:p>
          <w:p w14:paraId="5BE2D5B0" w14:textId="77777777" w:rsidR="00B84697" w:rsidRDefault="00DC51F6">
            <w:r>
              <w:rPr>
                <w:sz w:val="18"/>
              </w:rPr>
              <w:t>○ Probably yes</w:t>
            </w:r>
          </w:p>
          <w:p w14:paraId="282CB41B" w14:textId="77777777" w:rsidR="00B84697" w:rsidRDefault="00DC51F6">
            <w:r w:rsidRPr="00AB23ED">
              <w:rPr>
                <w:sz w:val="18"/>
              </w:rPr>
              <w:t>● Yes</w:t>
            </w:r>
          </w:p>
          <w:p w14:paraId="56062A40" w14:textId="77777777" w:rsidR="00B84697" w:rsidRDefault="00DC51F6">
            <w:r>
              <w:rPr>
                <w:sz w:val="18"/>
              </w:rPr>
              <w:t>○ Varies</w:t>
            </w:r>
          </w:p>
          <w:p w14:paraId="458FCD2A" w14:textId="77777777" w:rsidR="00B84697" w:rsidRDefault="00DC51F6">
            <w:r>
              <w:rPr>
                <w:sz w:val="18"/>
              </w:rPr>
              <w:t>○ 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8BE9E06" w14:textId="77777777" w:rsidR="008A43FC" w:rsidRDefault="00DC51F6">
            <w:r w:rsidRPr="00AB23ED">
              <w:rPr>
                <w:sz w:val="18"/>
              </w:rPr>
              <w:t xml:space="preserve">Notification systems already operate at national scale: 84,722 volunteers enrolled and 144,555 alerts sent in Singapore (Pek 2025</w:t>
            </w:r>
            <w:r w:rsidRPr="00AB23ED">
              <w:rPr>
                <w:sz w:val="18"/>
                <w:vertAlign w:val="superscript"/>
              </w:rPr>
              <w:t xml:space="preserve">6</w:t>
            </w:r>
            <w:r w:rsidRPr="00AB23ED">
              <w:rPr>
                <w:sz w:val="18"/>
              </w:rPr>
              <w:t xml:space="preserve">); 63,924 registered volunteers in the Seoul districts studied (Lee 2019</w:t>
            </w:r>
            <w:r w:rsidRPr="00AB23ED">
              <w:rPr>
                <w:sz w:val="18"/>
                <w:vertAlign w:val="superscript"/>
              </w:rPr>
              <w:t xml:space="preserve">7</w:t>
            </w:r>
            <w:r w:rsidRPr="00AB23ED">
              <w:rPr>
                <w:sz w:val="18"/>
              </w:rPr>
              <w:t xml:space="preserve">); an alert was issued in 5,499 of 9,167 arrests (60.0%) in Singapore (Takahashi 2025</w:t>
            </w:r>
            <w:r w:rsidRPr="00AB23ED">
              <w:rPr>
                <w:sz w:val="18"/>
                <w:vertAlign w:val="superscript"/>
              </w:rPr>
              <w:t xml:space="preserve">8</w:t>
            </w:r>
            <w:r w:rsidRPr="00AB23ED">
              <w:rPr>
                <w:sz w:val="18"/>
              </w:rPr>
              <w:t xml:space="preserve">).</w:t>
            </w:r>
          </w:p>
          <w:p w14:paraId="03C116E3" w14:textId="77777777" w:rsidR="00B84697" w:rsidRDefault="00DC51F6">
            <w:r>
              <w:rPr>
                <w:sz w:val="18"/>
              </w:rPr>
              <w:t>The review does not quantify the burden of out-of-hospital cardiac arrest; its priority rests on the 2015 and 2020 ILCOR CoSTRs.</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197B99D" w14:textId="77777777" w:rsidR="008A43FC" w:rsidRDefault="00DC51F6">
            <w:r>
              <w:rPr>
                <w:sz w:val="18"/>
              </w:rPr>
              <w:t>Not contested in 2015 or 2020; the systems are widely deployed while their effect on patient outcomes remains uncertain.</w:t>
            </w:r>
          </w:p>
        </w:tc>
      </w:tr>
      <w:tr w:rsidR="00D92784" w:rsidRPr="001E0F0C" w14:paraId="2ACD0889"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468E98BD" w14:textId="77777777" w:rsidR="00D92784" w:rsidRPr="001E0F0C" w:rsidRDefault="00B909BD" w:rsidP="00DF78D1">
            <w:pPr>
              <w:pStyle w:val="Heading2"/>
              <w:keepNext/>
              <w:spacing w:before="0" w:beforeAutospacing="0" w:after="0" w:afterAutospacing="0" w:line="240" w:lineRule="atLeast"/>
              <w:divId w:val="386497061"/>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lastRenderedPageBreak/>
              <w:t>Desirable Effects</w:t>
            </w:r>
          </w:p>
          <w:p w14:paraId="67866B3E" w14:textId="77777777" w:rsidR="00D92784" w:rsidRPr="001E0F0C" w:rsidRDefault="00B909BD" w:rsidP="00DF78D1">
            <w:pPr>
              <w:pStyle w:val="Sottotitolo1"/>
              <w:keepNext/>
              <w:spacing w:before="0" w:beforeAutospacing="0" w:after="0" w:afterAutospacing="0" w:line="240" w:lineRule="atLeast"/>
              <w:divId w:val="386497061"/>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How substantial are the desirable anticipated effects?</w:t>
            </w:r>
          </w:p>
        </w:tc>
      </w:tr>
      <w:tr w:rsidR="00D92784" w:rsidRPr="001E0F0C" w14:paraId="29888516"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6CD2F89"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8A56459" w14:textId="77777777" w:rsidR="00D92784" w:rsidRPr="001E0F0C" w:rsidRDefault="00B909BD" w:rsidP="00DF78D1">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C079268" w14:textId="77777777" w:rsidR="00D92784" w:rsidRPr="001E0F0C" w:rsidRDefault="00B909BD" w:rsidP="00DF78D1">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3B2F9CF9"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56666A5" w14:textId="77777777" w:rsidR="008A43FC" w:rsidRDefault="00DC51F6">
            <w:r>
              <w:rPr>
                <w:sz w:val="18"/>
              </w:rPr>
              <w:t>○ Trivial</w:t>
            </w:r>
          </w:p>
          <w:p w14:paraId="747CB6FB" w14:textId="77777777" w:rsidR="00B84697" w:rsidRDefault="00DC51F6">
            <w:r w:rsidRPr="00AB23ED">
              <w:rPr>
                <w:sz w:val="18"/>
              </w:rPr>
              <w:t>● Small</w:t>
            </w:r>
          </w:p>
          <w:p w14:paraId="6F84C2BA" w14:textId="77777777" w:rsidR="00B84697" w:rsidRDefault="00DC51F6">
            <w:r>
              <w:rPr>
                <w:sz w:val="18"/>
              </w:rPr>
              <w:t>○ Moderate</w:t>
            </w:r>
          </w:p>
          <w:p w14:paraId="532F4A09" w14:textId="77777777" w:rsidR="00B84697" w:rsidRDefault="00DC51F6">
            <w:r>
              <w:rPr>
                <w:sz w:val="18"/>
              </w:rPr>
              <w:t>○ Large</w:t>
            </w:r>
          </w:p>
          <w:p w14:paraId="58382DD5" w14:textId="77777777" w:rsidR="00B84697" w:rsidRDefault="00DC51F6">
            <w:r>
              <w:rPr>
                <w:sz w:val="18"/>
              </w:rPr>
              <w:t>○ Varies</w:t>
            </w:r>
          </w:p>
          <w:p w14:paraId="7E433A2A" w14:textId="77777777" w:rsidR="00B84697" w:rsidRDefault="00DC51F6">
            <w:r>
              <w:rPr>
                <w:sz w:val="18"/>
              </w:rPr>
              <w:t>○ 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41B4BC6" w14:textId="77777777" w:rsidR="008A43FC" w:rsidRDefault="00DC51F6">
            <w:pPr>
              <w:spacing w:before="60" w:after="60"/>
            </w:pPr>
            <w:r>
              <w:rPr>
                <w:sz w:val="18"/>
              </w:rPr>
              <w:t xml:space="preserve">RCT, notification versus none (Ringh 2015</w:t>
            </w:r>
            <w:r>
              <w:rPr>
                <w:sz w:val="18"/>
                <w:vertAlign w:val="superscript"/>
              </w:rPr>
              <w:t xml:space="preserve">3</w:t>
            </w:r>
            <w:r>
              <w:rPr>
                <w:sz w:val="18"/>
              </w:rPr>
              <w:t xml:space="preserve">; shown separately, not pooled): bystander CPR OR 1.76 (1.29–2.39), +139 per 1,000 (63 to 209), moderate certainty; ROSC 1.02 (0.73–1.42) and 30-day survival 1.34 (0.79–2.29), very low certainty. Neurological outcome and bystander defibrillation not reported.</w:t>
            </w:r>
          </w:p>
          <w:p w14:paraId="5636E822" w14:textId="77777777" w:rsidR="00B84697" w:rsidRDefault="00DC51F6">
            <w:pPr>
              <w:spacing w:before="60" w:after="60"/>
            </w:pPr>
            <w:r>
              <w:rPr>
                <w:sz w:val="18"/>
              </w:rPr>
              <w:t xml:space="preserve">System level, before–after studies (Stieglis 2022</w:t>
            </w:r>
            <w:r>
              <w:rPr>
                <w:sz w:val="18"/>
                <w:vertAlign w:val="superscript"/>
              </w:rPr>
              <w:t xml:space="preserve">9</w:t>
            </w:r>
            <w:r>
              <w:rPr>
                <w:sz w:val="18"/>
              </w:rPr>
              <w:t xml:space="preserve">, Lee 2019</w:t>
            </w:r>
            <w:r>
              <w:rPr>
                <w:sz w:val="18"/>
                <w:vertAlign w:val="superscript"/>
              </w:rPr>
              <w:t xml:space="preserve">7</w:t>
            </w:r>
            <w:r>
              <w:rPr>
                <w:sz w:val="18"/>
              </w:rPr>
              <w:t xml:space="preserve">, Oosterveer 2023</w:t>
            </w:r>
            <w:r>
              <w:rPr>
                <w:sz w:val="18"/>
                <w:vertAlign w:val="superscript"/>
              </w:rPr>
              <w:t xml:space="preserve">10</w:t>
            </w:r>
            <w:r>
              <w:rPr>
                <w:sz w:val="18"/>
              </w:rPr>
              <w:t xml:space="preserve">, Wong 2021</w:t>
            </w:r>
            <w:r>
              <w:rPr>
                <w:sz w:val="18"/>
                <w:vertAlign w:val="superscript"/>
              </w:rPr>
              <w:t xml:space="preserve">11</w:t>
            </w:r>
            <w:r>
              <w:rPr>
                <w:sz w:val="18"/>
              </w:rPr>
              <w:t xml:space="preserve">): survival 1.28 (0.72–2.28), I² 76% and ROSC 1.43 (0.57–3.60), I² 92%, both exploratory (I² above 75%); bystander CPR 1.11 (0.75–1.65), I² 68%; bystander defibrillation (an AED applied or used before EMS arrival, not necessarily a shock) 1.46 (0.70–3.01), I² 47%; neurological outcome, two studies, not pooled. Very low certainty.</w:t>
            </w:r>
          </w:p>
          <w:p w14:paraId="13744E46" w14:textId="77777777" w:rsidR="00B84697" w:rsidRDefault="00DC51F6">
            <w:pPr>
              <w:spacing w:before="60" w:after="60"/>
            </w:pPr>
            <w:r>
              <w:rPr>
                <w:sz w:val="18"/>
              </w:rPr>
              <w:t xml:space="preserve">Individual level, alert sent versus not within an operating system (Smida 2022</w:t>
            </w:r>
            <w:r>
              <w:rPr>
                <w:sz w:val="18"/>
                <w:vertAlign w:val="superscript"/>
              </w:rPr>
              <w:t xml:space="preserve">12</w:t>
            </w:r>
            <w:r>
              <w:rPr>
                <w:sz w:val="18"/>
              </w:rPr>
              <w:t xml:space="preserve">, Smith 2022</w:t>
            </w:r>
            <w:r>
              <w:rPr>
                <w:sz w:val="18"/>
                <w:vertAlign w:val="superscript"/>
              </w:rPr>
              <w:t xml:space="preserve">13</w:t>
            </w:r>
            <w:r>
              <w:rPr>
                <w:sz w:val="18"/>
              </w:rPr>
              <w:t xml:space="preserve">, Andelius 2020</w:t>
            </w:r>
            <w:r>
              <w:rPr>
                <w:sz w:val="18"/>
                <w:vertAlign w:val="superscript"/>
              </w:rPr>
              <w:t xml:space="preserve">14</w:t>
            </w:r>
            <w:r>
              <w:rPr>
                <w:sz w:val="18"/>
              </w:rPr>
              <w:t xml:space="preserve">, Pijls 2016</w:t>
            </w:r>
            <w:r>
              <w:rPr>
                <w:sz w:val="18"/>
                <w:vertAlign w:val="superscript"/>
              </w:rPr>
              <w:t xml:space="preserve">15</w:t>
            </w:r>
            <w:r>
              <w:rPr>
                <w:sz w:val="18"/>
              </w:rPr>
              <w:t xml:space="preserve"> through its companion report Pijls 2018a</w:t>
            </w:r>
            <w:r>
              <w:rPr>
                <w:sz w:val="18"/>
                <w:vertAlign w:val="superscript"/>
              </w:rPr>
              <w:t xml:space="preserve">16</w:t>
            </w:r>
            <w:r>
              <w:rPr>
                <w:sz w:val="18"/>
              </w:rPr>
              <w:t xml:space="preserve">, Takahashi 2025</w:t>
            </w:r>
            <w:r>
              <w:rPr>
                <w:sz w:val="18"/>
                <w:vertAlign w:val="superscript"/>
              </w:rPr>
              <w:t xml:space="preserve">8</w:t>
            </w:r>
            <w:r>
              <w:rPr>
                <w:sz w:val="18"/>
              </w:rPr>
              <w:t xml:space="preserve">; site data from Jonsson 2023</w:t>
            </w:r>
            <w:r>
              <w:rPr>
                <w:sz w:val="18"/>
                <w:vertAlign w:val="superscript"/>
              </w:rPr>
              <w:t xml:space="preserve">17</w:t>
            </w:r>
            <w:r>
              <w:rPr>
                <w:sz w:val="18"/>
              </w:rPr>
              <w:t xml:space="preserve">): survival 1.14 (0.89–1.45), I² 31%; ROSC 1.05 (0.69–1.59), I² 0%; bystander CPR 2.75 (1.64–4.60), I² 96%, exploratory; bystander defibrillation 2.14 (1.59–2.89), I² 0%, which depends on Takahashi 2025's</w:t>
            </w:r>
            <w:r>
              <w:rPr>
                <w:sz w:val="18"/>
                <w:vertAlign w:val="superscript"/>
              </w:rPr>
              <w:t xml:space="preserve">8</w:t>
            </w:r>
            <w:r>
              <w:rPr>
                <w:sz w:val="18"/>
              </w:rPr>
              <w:t xml:space="preserve"> adjusted estimate (with its crude estimate, 1.22 (0.38–3.89), I² 80%, exploratory); neurological outcome, one study, adjusted OR 1.54 (1.11–2.15) (crude OR 0.97, 0.76–1.25). Very low certaint</w:t>
            </w:r>
            <w:r>
              <w:rPr>
                <w:sz w:val="18"/>
              </w:rPr>
              <w:t>y.</w:t>
            </w:r>
          </w:p>
          <w:p w14:paraId="6FEB98D0" w14:textId="77777777" w:rsidR="00B84697" w:rsidRDefault="00DC51F6">
            <w:pPr>
              <w:spacing w:before="60" w:after="60"/>
            </w:pPr>
            <w:r>
              <w:rPr>
                <w:sz w:val="18"/>
              </w:rPr>
              <w:t xml:space="preserve">Odds ratios; random effects (REML, Hartung–Knapp); no pooling below three studies; with I² above 75% the PICOST requires narrative synthesis and the pooled value is exploratory. Stieglis 2022's</w:t>
            </w:r>
            <w:r>
              <w:rPr>
                <w:sz w:val="18"/>
                <w:vertAlign w:val="superscript"/>
              </w:rPr>
              <w:t xml:space="preserve">9</w:t>
            </w:r>
            <w:r>
              <w:rPr>
                <w:sz w:val="18"/>
              </w:rPr>
              <w:t xml:space="preserve"> bystander CPR row, reported for shockable rhythms only, is excluded (collider risk); with it, system-level CPR is 1.32 (0.71–2.44), I² 90%, exploratory.</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C52450B" w14:textId="77777777" w:rsidR="008A43FC" w:rsidRDefault="00DC51F6">
            <w:r w:rsidRPr="00AB23ED">
              <w:rPr>
                <w:sz w:val="18"/>
              </w:rPr>
              <w:t>Small: the RCT's moderate-certainty increase in bystander CPR is an important outcome, while no effect on survival or neurological outcome can be determined at either level.</w:t>
            </w:r>
            <w:r>
              <w:rPr>
                <w:sz w:val="18"/>
              </w:rPr>
              <w:t xml:space="preserve"/>
            </w:r>
          </w:p>
        </w:tc>
      </w:tr>
      <w:tr w:rsidR="00D92784" w:rsidRPr="001E0F0C" w14:paraId="25EF00A1"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2CA5DE77" w14:textId="77777777" w:rsidR="00D92784" w:rsidRPr="001E0F0C" w:rsidRDefault="00B909BD">
            <w:pPr>
              <w:pStyle w:val="Heading2"/>
              <w:keepNext/>
              <w:spacing w:before="0" w:beforeAutospacing="0" w:after="0" w:afterAutospacing="0" w:line="240" w:lineRule="atLeast"/>
              <w:divId w:val="1843737124"/>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Undesirable Effects</w:t>
            </w:r>
          </w:p>
          <w:p w14:paraId="7254452F" w14:textId="77777777" w:rsidR="00D92784" w:rsidRPr="001E0F0C" w:rsidRDefault="00B909BD">
            <w:pPr>
              <w:pStyle w:val="Sottotitolo1"/>
              <w:keepNext/>
              <w:spacing w:before="0" w:beforeAutospacing="0" w:after="0" w:afterAutospacing="0" w:line="240" w:lineRule="atLeast"/>
              <w:divId w:val="1843737124"/>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How substantial are the undesirable anticipated effects?</w:t>
            </w:r>
          </w:p>
        </w:tc>
      </w:tr>
      <w:tr w:rsidR="00D92784" w:rsidRPr="001E0F0C" w14:paraId="13748682"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CF7F12F"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EEC89F7"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375A62B"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121483F6" w14:textId="77777777" w:rsidTr="00DF78D1">
        <w:trPr>
          <w:divId w:val="1131899364"/>
          <w:cantSplit/>
          <w:trHeight w:val="1384"/>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858D641" w14:textId="77777777" w:rsidR="008A43FC" w:rsidRDefault="007304B9">
            <w:bookmarkStart w:id="0" w:name="_Hlk241515225"/>
            <w:bookmarkEnd w:id="0"/>
            <w:r>
              <w:rPr>
                <w:sz w:val="18"/>
              </w:rPr>
              <w:t>○ Trivial</w:t>
            </w:r>
          </w:p>
          <w:p w14:paraId="03208230" w14:textId="77777777" w:rsidR="00B84697" w:rsidRDefault="00DC51F6">
            <w:r w:rsidRPr="00AB23ED">
              <w:rPr>
                <w:sz w:val="18"/>
              </w:rPr>
              <w:t>● Small</w:t>
            </w:r>
          </w:p>
          <w:p w14:paraId="112F279C" w14:textId="77777777" w:rsidR="00B84697" w:rsidRDefault="00DC51F6">
            <w:r>
              <w:rPr>
                <w:sz w:val="18"/>
              </w:rPr>
              <w:t>○ Moderate</w:t>
            </w:r>
          </w:p>
          <w:p w14:paraId="590F39AE" w14:textId="77777777" w:rsidR="00B84697" w:rsidRDefault="00DC51F6">
            <w:r>
              <w:rPr>
                <w:sz w:val="18"/>
              </w:rPr>
              <w:t>○ Large</w:t>
            </w:r>
          </w:p>
          <w:p w14:paraId="3824A6EC" w14:textId="77777777" w:rsidR="00B84697" w:rsidRDefault="00DC51F6">
            <w:r>
              <w:rPr>
                <w:sz w:val="18"/>
              </w:rPr>
              <w:t>○ Varies</w:t>
            </w:r>
          </w:p>
          <w:p w14:paraId="712475FC" w14:textId="77777777" w:rsidR="00B84697" w:rsidRDefault="00DC51F6">
            <w:r>
              <w:rPr>
                <w:sz w:val="18"/>
              </w:rPr>
              <w:t>○ 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ECF44FA" w14:textId="77777777" w:rsidR="008A43FC" w:rsidRDefault="00DC51F6">
            <w:pPr>
              <w:spacing w:before="60" w:after="60"/>
            </w:pPr>
            <w:r w:rsidRPr="00AB23ED">
              <w:rPr>
                <w:sz w:val="18"/>
              </w:rPr>
              <w:t xml:space="preserve">Patients: no major adverse events in the RCT (Ringh 2015</w:t>
            </w:r>
            <w:r w:rsidRPr="00AB23ED">
              <w:rPr>
                <w:sz w:val="18"/>
                <w:vertAlign w:val="superscript"/>
              </w:rPr>
              <w:t xml:space="preserve">3</w:t>
            </w:r>
            <w:r w:rsidRPr="00AB23ED">
              <w:rPr>
                <w:sz w:val="18"/>
              </w:rPr>
              <w:t xml:space="preserve">)</w:t>
            </w:r>
            <w:r>
              <w:rPr>
                <w:sz w:val="18"/>
              </w:rPr>
              <w:t xml:space="preserve">; no safety issues, including breaches of patient confidentiality, which SAMBA solicited prospectively (Berglund 2023</w:t>
            </w:r>
            <w:r>
              <w:rPr>
                <w:sz w:val="18"/>
                <w:vertAlign w:val="superscript"/>
              </w:rPr>
              <w:t xml:space="preserve">4</w:t>
            </w:r>
            <w:r>
              <w:rPr>
                <w:sz w:val="18"/>
              </w:rPr>
              <w:t xml:space="preserve">). Alerts often reach patients without cardiac arrest: 362 of 654 patients assessed (Smida 2022</w:t>
            </w:r>
            <w:r>
              <w:rPr>
                <w:sz w:val="18"/>
                <w:vertAlign w:val="superscript"/>
              </w:rPr>
              <w:t xml:space="preserve">12</w:t>
            </w:r>
            <w:r>
              <w:rPr>
                <w:sz w:val="18"/>
              </w:rPr>
              <w:t xml:space="preserve">).</w:t>
            </w:r>
          </w:p>
          <w:p w14:paraId="1095EB09" w14:textId="77777777" w:rsidR="00B84697" w:rsidRDefault="00DC51F6">
            <w:pPr>
              <w:spacing w:before="60" w:after="60"/>
            </w:pPr>
            <w:r>
              <w:rPr>
                <w:sz w:val="18"/>
              </w:rPr>
              <w:t xml:space="preserve">Responders who answered the survey sent after an alert (response 75%): severe psychological impact in 1.4% (22/1,621)</w:t>
            </w:r>
            <w:r w:rsidRPr="00AB23ED">
              <w:rPr>
                <w:sz w:val="18"/>
              </w:rPr>
              <w:t xml:space="preserve"/>
            </w:r>
            <w:r>
              <w:rPr>
                <w:sz w:val="18"/>
              </w:rPr>
              <w:t xml:space="preserve">, three needing professional follow-up; </w:t>
            </w:r>
            <w:r w:rsidRPr="00AB23ED">
              <w:rPr>
                <w:sz w:val="18"/>
              </w:rPr>
              <w:t>one injury</w:t>
            </w:r>
            <w:r>
              <w:rPr>
                <w:sz w:val="18"/>
              </w:rPr>
              <w:t xml:space="preserve"> needing hospital care among 1,630 (Andelius 2020</w:t>
            </w:r>
            <w:r>
              <w:rPr>
                <w:sz w:val="18"/>
                <w:vertAlign w:val="superscript"/>
              </w:rPr>
              <w:t xml:space="preserve">14</w:t>
            </w:r>
            <w:r>
              <w:rPr>
                <w:sz w:val="18"/>
              </w:rPr>
              <w:t xml:space="preserve">). </w:t>
            </w:r>
            <w:r w:rsidRPr="00AB23ED">
              <w:rPr>
                <w:sz w:val="18"/>
              </w:rPr>
              <w:t>Severe impact in 1.2% overall</w:t>
            </w:r>
            <w:r>
              <w:rPr>
                <w:sz w:val="18"/>
              </w:rPr>
              <w:t xml:space="preserve">, 2.7% of those who performed CPR and 2.8% of those who arrived before EMS (Kragh 2021</w:t>
            </w:r>
            <w:r>
              <w:rPr>
                <w:sz w:val="18"/>
                <w:vertAlign w:val="superscript"/>
              </w:rPr>
              <w:t xml:space="preserve">18</w:t>
            </w:r>
            <w:r>
              <w:rPr>
                <w:sz w:val="18"/>
              </w:rPr>
              <w:t xml:space="preserve">); 13% of first-arriving CPR providers rated the short-term impact severe, but none scored in the moderate or severe stress range at 4–6 weeks (Zijlstra 2015</w:t>
            </w:r>
            <w:r>
              <w:rPr>
                <w:sz w:val="18"/>
                <w:vertAlign w:val="superscript"/>
              </w:rPr>
              <w:t xml:space="preserve">19</w:t>
            </w:r>
            <w:r>
              <w:rPr>
                <w:sz w:val="18"/>
              </w:rPr>
              <w:t xml:space="preserv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266854B" w14:textId="77777777" w:rsidR="0053025C" w:rsidRDefault="00DC51F6">
            <w:r w:rsidRPr="00AB23ED">
              <w:rPr>
                <w:sz w:val="18"/>
              </w:rPr>
              <w:t>Small rather than trivial</w:t>
            </w:r>
            <w:r>
              <w:rPr>
                <w:sz w:val="18"/>
              </w:rPr>
              <w:t>: severe impact is uncommon but concentrates in responders who arrive first and act, and programs need follow-up. Evidence is self-reported, with follow-up of six weeks at most.</w:t>
            </w:r>
          </w:p>
        </w:tc>
      </w:tr>
      <w:tr w:rsidR="00D92784" w:rsidRPr="001E0F0C" w14:paraId="3EEAFF76"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3817358E" w14:textId="77777777" w:rsidR="00D92784" w:rsidRPr="001E0F0C" w:rsidRDefault="00B909BD">
            <w:pPr>
              <w:pStyle w:val="Heading2"/>
              <w:keepNext/>
              <w:spacing w:before="0" w:beforeAutospacing="0" w:after="0" w:afterAutospacing="0" w:line="240" w:lineRule="atLeast"/>
              <w:divId w:val="34160027"/>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lastRenderedPageBreak/>
              <w:t>Certainty of evidence</w:t>
            </w:r>
          </w:p>
          <w:p w14:paraId="6D6E6379" w14:textId="77777777" w:rsidR="00D92784" w:rsidRPr="001E0F0C" w:rsidRDefault="00B909BD">
            <w:pPr>
              <w:pStyle w:val="Sottotitolo1"/>
              <w:keepNext/>
              <w:spacing w:before="0" w:beforeAutospacing="0" w:after="0" w:afterAutospacing="0" w:line="240" w:lineRule="atLeast"/>
              <w:divId w:val="34160027"/>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What is the overall certainty of the evidence of effects?</w:t>
            </w:r>
          </w:p>
        </w:tc>
      </w:tr>
      <w:tr w:rsidR="00D92784" w:rsidRPr="001E0F0C" w14:paraId="4582C89B"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85717ED"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03DB292"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9F84BD9"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612126E9" w14:textId="77777777" w:rsidTr="00DF78D1">
        <w:trPr>
          <w:divId w:val="1131899364"/>
          <w:cantSplit/>
          <w:trHeight w:val="601"/>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556B70D" w14:textId="77777777" w:rsidR="008A43FC" w:rsidRDefault="00DC51F6">
            <w:r>
              <w:rPr>
                <w:sz w:val="18"/>
              </w:rPr>
              <w:t xml:space="preserve">● </w:t>
            </w:r>
            <w:r w:rsidRPr="00AB23ED">
              <w:rPr>
                <w:sz w:val="18"/>
              </w:rPr>
              <w:t>Very low</w:t>
            </w:r>
          </w:p>
          <w:p w14:paraId="2AB95846" w14:textId="77777777" w:rsidR="00B84697" w:rsidRDefault="00DC51F6">
            <w:r>
              <w:rPr>
                <w:sz w:val="18"/>
              </w:rPr>
              <w:t>○ Low</w:t>
            </w:r>
          </w:p>
          <w:p w14:paraId="237C3426" w14:textId="77777777" w:rsidR="00B84697" w:rsidRDefault="00DC51F6">
            <w:r>
              <w:rPr>
                <w:sz w:val="18"/>
              </w:rPr>
              <w:t>○ Moderate</w:t>
            </w:r>
          </w:p>
          <w:p w14:paraId="6EE94A8D" w14:textId="77777777" w:rsidR="00B84697" w:rsidRDefault="00DC51F6">
            <w:r>
              <w:rPr>
                <w:sz w:val="18"/>
              </w:rPr>
              <w:t>○ High</w:t>
            </w:r>
          </w:p>
          <w:p w14:paraId="06DDFEA2" w14:textId="77777777" w:rsidR="00B84697" w:rsidRDefault="00DC51F6">
            <w:r>
              <w:rPr>
                <w:sz w:val="18"/>
              </w:rPr>
              <w:t>○ No included studies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D7E46A0" w14:textId="77777777" w:rsidR="008A43FC" w:rsidRDefault="00DC51F6">
            <w:pPr>
              <w:spacing w:before="60" w:after="60"/>
            </w:pPr>
            <w:r>
              <w:rPr>
                <w:sz w:val="18"/>
              </w:rPr>
              <w:t xml:space="preserve">Ringh 2015</w:t>
            </w:r>
            <w:r>
              <w:rPr>
                <w:sz w:val="18"/>
                <w:vertAlign w:val="superscript"/>
              </w:rPr>
              <w:t xml:space="preserve">3</w:t>
            </w:r>
            <w:r>
              <w:rPr>
                <w:sz w:val="18"/>
              </w:rPr>
              <w:t xml:space="preserve">: bystander CPR moderate (indirectness: one county's system); ROSC and 30-day survival very low (indirectness; very serious imprecision); neurological outcome and bystander defibrillation not reported.</w:t>
            </w:r>
          </w:p>
          <w:p w14:paraId="40681D53" w14:textId="77777777" w:rsidR="00B84697" w:rsidRDefault="00DC51F6">
            <w:pPr>
              <w:spacing w:before="60" w:after="60"/>
            </w:pPr>
            <w:r>
              <w:rPr>
                <w:sz w:val="18"/>
              </w:rPr>
              <w:t>System level, before–after studies: very low for every outcome (risk of bias: before–after design, notification bundled with AED placement, training or dispatcher-assisted CPR; inconsistency; imprecision).</w:t>
            </w:r>
          </w:p>
          <w:p w14:paraId="7539D1A4" w14:textId="77777777" w:rsidR="00B84697" w:rsidRDefault="00DC51F6">
            <w:pPr>
              <w:spacing w:before="60" w:after="60"/>
            </w:pPr>
            <w:r>
              <w:rPr>
                <w:sz w:val="18"/>
              </w:rPr>
              <w:t>Individual level, alert sent versus not: very low for every outcome (confounding by indication, because whoever receives an alert also differs in outcome risk; imprecision).</w:t>
            </w:r>
          </w:p>
          <w:p w14:paraId="462C6E46" w14:textId="77777777" w:rsidR="00B84697" w:rsidRDefault="00DC51F6">
            <w:pPr>
              <w:spacing w:before="60" w:after="60"/>
            </w:pPr>
            <w:r>
              <w:rPr>
                <w:sz w:val="18"/>
              </w:rPr>
              <w:t>Draft ratings; the Evidence Profile gives every downgrading footnote.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18F4A46" w14:textId="77777777" w:rsidR="008A43FC" w:rsidRDefault="00DC51F6">
            <w:r>
              <w:rPr>
                <w:sz w:val="18"/>
              </w:rPr>
              <w:t>The overall certainty follows the critical outcomes (survival and survival with favorable neurological outcome): very low.</w:t>
            </w:r>
          </w:p>
        </w:tc>
      </w:tr>
      <w:tr w:rsidR="00D92784" w:rsidRPr="001E0F0C" w14:paraId="78678044"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4FDE9D6C" w14:textId="77777777" w:rsidR="00D92784" w:rsidRPr="001E0F0C" w:rsidRDefault="00B909BD">
            <w:pPr>
              <w:pStyle w:val="Heading2"/>
              <w:keepNext/>
              <w:spacing w:before="0" w:beforeAutospacing="0" w:after="0" w:afterAutospacing="0" w:line="240" w:lineRule="atLeast"/>
              <w:divId w:val="1690179961"/>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Values</w:t>
            </w:r>
          </w:p>
          <w:p w14:paraId="2A4A1DD7" w14:textId="77777777" w:rsidR="00D92784" w:rsidRPr="001E0F0C" w:rsidRDefault="00B909BD">
            <w:pPr>
              <w:pStyle w:val="Sottotitolo1"/>
              <w:keepNext/>
              <w:spacing w:before="0" w:beforeAutospacing="0" w:after="0" w:afterAutospacing="0" w:line="240" w:lineRule="atLeast"/>
              <w:divId w:val="1690179961"/>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Is there important uncertainty about or variability in how much people value the main outcomes?</w:t>
            </w:r>
          </w:p>
        </w:tc>
      </w:tr>
      <w:tr w:rsidR="00D92784" w:rsidRPr="001E0F0C" w14:paraId="6BD5ACE7"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5B0B5A0"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7349DCE"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896CA25"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685422C6"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F571459" w14:textId="77777777" w:rsidR="008A43FC" w:rsidRDefault="00DC51F6">
            <w:r>
              <w:rPr>
                <w:sz w:val="18"/>
              </w:rPr>
              <w:t>○ Important uncertainty or variability</w:t>
            </w:r>
          </w:p>
          <w:p w14:paraId="4AB492E4" w14:textId="77777777" w:rsidR="00B84697" w:rsidRPr="00AB23ED" w:rsidRDefault="00DC51F6">
            <w:pPr>
              <w:rPr/>
            </w:pPr>
            <w:r w:rsidRPr="00AB23ED">
              <w:rPr>
                <w:sz w:val="18"/>
              </w:rPr>
              <w:t>● Possibly important uncertainty or variability</w:t>
            </w:r>
          </w:p>
          <w:p w14:paraId="0C7418B6" w14:textId="77777777" w:rsidR="00B84697" w:rsidRDefault="00DC51F6">
            <w:r w:rsidRPr="00AB23ED">
              <w:rPr>
                <w:sz w:val="18"/>
              </w:rPr>
              <w:t>○ Probably no important uncertainty or variability</w:t>
            </w:r>
          </w:p>
          <w:p w14:paraId="5CE4B676" w14:textId="77777777" w:rsidR="00B84697" w:rsidRDefault="00DC51F6">
            <w:r>
              <w:rPr>
                <w:sz w:val="18"/>
              </w:rPr>
              <w:t>○ No important uncertainty or variability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D38BD7C" w14:textId="77777777" w:rsidR="008A43FC" w:rsidRDefault="00DC51F6">
            <w:r w:rsidRPr="00AB23ED">
              <w:rPr>
                <w:sz w:val="18"/>
              </w:rPr>
              <w:t xml:space="preserve">The public accepted help from alerted strangers in public places (92–95%) more readily than in their own home (85–89%) (Dainty 2017</w:t>
            </w:r>
            <w:r w:rsidRPr="00AB23ED">
              <w:rPr>
                <w:sz w:val="18"/>
                <w:vertAlign w:val="superscript"/>
              </w:rPr>
              <w:t xml:space="preserve">20</w:t>
            </w:r>
            <w:r w:rsidRPr="00AB23ED">
              <w:rPr>
                <w:sz w:val="18"/>
              </w:rPr>
              <w:t xml:space="preserve">).</w:t>
            </w:r>
          </w:p>
          <w:p w14:paraId="14CA181D" w14:textId="77777777" w:rsidR="00B84697" w:rsidRDefault="00DC51F6">
            <w:r>
              <w:rPr>
                <w:sz w:val="18"/>
              </w:rPr>
              <w:t>No included or cited study measured how patients, families or the public value the outcomes themselves.</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80BD0C0" w14:textId="77777777" w:rsidR="0053025C" w:rsidRDefault="00DC51F6">
            <w:r>
              <w:rPr>
                <w:sz w:val="18"/>
              </w:rPr>
              <w:t>Variability is plausible for patients who would not want resuscitation and for responders entering private homes.</w:t>
            </w:r>
          </w:p>
        </w:tc>
      </w:tr>
      <w:tr w:rsidR="00D92784" w:rsidRPr="001E0F0C" w14:paraId="3E7B8EE0"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7EC6FBA3" w14:textId="77777777" w:rsidR="00D92784" w:rsidRPr="001E0F0C" w:rsidRDefault="00B909BD">
            <w:pPr>
              <w:pStyle w:val="Heading2"/>
              <w:keepNext/>
              <w:spacing w:before="0" w:beforeAutospacing="0" w:after="0" w:afterAutospacing="0" w:line="240" w:lineRule="atLeast"/>
              <w:divId w:val="614485989"/>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Balance of effects</w:t>
            </w:r>
          </w:p>
          <w:p w14:paraId="32B0AA21" w14:textId="77777777" w:rsidR="00D92784" w:rsidRPr="001E0F0C" w:rsidRDefault="00B909BD">
            <w:pPr>
              <w:pStyle w:val="Sottotitolo1"/>
              <w:keepNext/>
              <w:spacing w:before="0" w:beforeAutospacing="0" w:after="0" w:afterAutospacing="0" w:line="240" w:lineRule="atLeast"/>
              <w:divId w:val="614485989"/>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Does the balance between desirable and undesirable effects favor the intervention or the comparison?</w:t>
            </w:r>
          </w:p>
        </w:tc>
      </w:tr>
      <w:tr w:rsidR="00D92784" w:rsidRPr="001E0F0C" w14:paraId="3A8F2BF1"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5250DE1"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99236CD"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94D0395"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761FDC80" w14:textId="77777777" w:rsidTr="00304B42">
        <w:trPr>
          <w:divId w:val="1131899364"/>
          <w:cantSplit/>
          <w:trHeight w:val="1903"/>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1959AF6" w14:textId="77777777" w:rsidR="008A43FC" w:rsidRDefault="00DC51F6">
            <w:r>
              <w:rPr>
                <w:sz w:val="18"/>
              </w:rPr>
              <w:t>○ Favors the comparison</w:t>
            </w:r>
          </w:p>
          <w:p w14:paraId="0366A41D" w14:textId="77777777" w:rsidR="00B84697" w:rsidRDefault="00DC51F6">
            <w:r>
              <w:rPr>
                <w:sz w:val="18"/>
              </w:rPr>
              <w:t>○ Probably favors the comparison</w:t>
            </w:r>
          </w:p>
          <w:p w14:paraId="13B2B0B9" w14:textId="77777777" w:rsidR="00B84697" w:rsidRDefault="00DC51F6">
            <w:r>
              <w:rPr>
                <w:sz w:val="18"/>
              </w:rPr>
              <w:t>○ Does not favor either the intervention or the comparison</w:t>
            </w:r>
          </w:p>
          <w:p w14:paraId="493267EC" w14:textId="77777777" w:rsidR="00B84697" w:rsidRDefault="00DC51F6">
            <w:r>
              <w:rPr>
                <w:sz w:val="18"/>
              </w:rPr>
              <w:t>○ Probably favors the intervention</w:t>
            </w:r>
          </w:p>
          <w:p w14:paraId="2DC9A3D9" w14:textId="77777777" w:rsidR="00B84697" w:rsidRDefault="00DC51F6">
            <w:r>
              <w:rPr>
                <w:sz w:val="18"/>
              </w:rPr>
              <w:t xml:space="preserve">● </w:t>
            </w:r>
            <w:r w:rsidRPr="00AB23ED">
              <w:rPr>
                <w:sz w:val="18"/>
              </w:rPr>
              <w:t>Favors the intervention</w:t>
            </w:r>
          </w:p>
          <w:p w14:paraId="2B9F90E1" w14:textId="77777777" w:rsidR="00B84697" w:rsidRDefault="00DC51F6">
            <w:r>
              <w:rPr>
                <w:sz w:val="18"/>
              </w:rPr>
              <w:t>○ Varies</w:t>
            </w:r>
          </w:p>
          <w:p w14:paraId="2385C16F" w14:textId="77777777" w:rsidR="00B84697" w:rsidRDefault="00DC51F6">
            <w:r>
              <w:rPr>
                <w:sz w:val="18"/>
              </w:rPr>
              <w:t>○ 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D5A93EB" w14:textId="77777777" w:rsidR="008A43FC" w:rsidRDefault="00DC51F6">
            <w:r w:rsidRPr="00AB23ED">
              <w:rPr>
                <w:sz w:val="18"/>
              </w:rPr>
              <w:t xml:space="preserve">A moderate-certainty increase in bystander CPR in the RCT (Ringh 2015</w:t>
            </w:r>
            <w:r w:rsidRPr="00AB23ED">
              <w:rPr>
                <w:sz w:val="18"/>
                <w:vertAlign w:val="superscript"/>
              </w:rPr>
              <w:t xml:space="preserve">3</w:t>
            </w:r>
            <w:r w:rsidRPr="00AB23ED">
              <w:rPr>
                <w:sz w:val="18"/>
              </w:rPr>
              <w:t xml:space="preserve">), an outcome on the path to survival</w:t>
            </w:r>
            <w:r>
              <w:rPr>
                <w:sz w:val="18"/>
              </w:rPr>
              <w:t xml:space="preserve">; the point estimates of the main pooled analyses lie above 1, but no effect on survival was detected in either direction, and appreciable harm cannot be excluded; small harms, mainly to responders, which follow-up can potentially mitigate.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6E97AFB" w14:textId="77777777" w:rsidR="008A43FC" w:rsidRDefault="00DC51F6">
            <w:r>
              <w:rPr>
                <w:sz w:val="18"/>
              </w:rPr>
              <w:t xml:space="preserve">The benefit shown is a process outcome; a survival benefit is not demonstrated.</w:t>
            </w:r>
          </w:p>
        </w:tc>
      </w:tr>
      <w:tr w:rsidR="00D92784" w:rsidRPr="001E0F0C" w14:paraId="25333C1B"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3F5B1B4D" w14:textId="77777777" w:rsidR="00D92784" w:rsidRPr="001E0F0C" w:rsidRDefault="00B909BD">
            <w:pPr>
              <w:pStyle w:val="Heading2"/>
              <w:keepNext/>
              <w:spacing w:before="0" w:beforeAutospacing="0" w:after="0" w:afterAutospacing="0" w:line="240" w:lineRule="atLeast"/>
              <w:divId w:val="1549998573"/>
              <w:rPr>
                <w:rFonts w:asciiTheme="minorHAnsi" w:eastAsia="Times New Roman" w:hAnsiTheme="minorHAnsi" w:cstheme="minorHAnsi"/>
                <w:color w:val="FFFFFF"/>
                <w:sz w:val="20"/>
                <w:szCs w:val="20"/>
              </w:rPr>
            </w:pPr>
            <w:r>
              <w:rPr>
                <w:rFonts w:asciiTheme="minorHAnsi" w:eastAsia="Times New Roman" w:hAnsiTheme="minorHAnsi" w:cstheme="minorHAnsi"/>
                <w:color w:val="FFFFFF"/>
                <w:sz w:val="20"/>
                <w:szCs w:val="20"/>
              </w:rPr>
              <w:lastRenderedPageBreak/>
              <w:t>Resources required</w:t>
            </w:r>
          </w:p>
        </w:tc>
      </w:tr>
      <w:tr w:rsidR="00D92784" w:rsidRPr="001E0F0C" w14:paraId="107ACC45"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9959733"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AD64CA1"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A4692CE"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012BDB95" w14:textId="77777777" w:rsidTr="00304B42">
        <w:trPr>
          <w:divId w:val="1131899364"/>
          <w:cantSplit/>
          <w:trHeight w:val="1592"/>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1FB27F7" w14:textId="77777777" w:rsidR="008A43FC" w:rsidRDefault="00DC51F6">
            <w:r>
              <w:rPr>
                <w:sz w:val="18"/>
              </w:rPr>
              <w:t>○ Large costs</w:t>
            </w:r>
          </w:p>
          <w:p w14:paraId="2B3911B6" w14:textId="77777777" w:rsidR="00B84697" w:rsidRDefault="00DC51F6">
            <w:r>
              <w:rPr>
                <w:sz w:val="18"/>
              </w:rPr>
              <w:t>○ Moderate costs</w:t>
            </w:r>
          </w:p>
          <w:p w14:paraId="47694AEF" w14:textId="77777777" w:rsidR="00B84697" w:rsidRDefault="00DC51F6">
            <w:r>
              <w:rPr>
                <w:sz w:val="18"/>
              </w:rPr>
              <w:t>○ Negligible costs and savings</w:t>
            </w:r>
          </w:p>
          <w:p w14:paraId="2D6C882B" w14:textId="77777777" w:rsidR="00B84697" w:rsidRDefault="00DC51F6">
            <w:r>
              <w:rPr>
                <w:sz w:val="18"/>
              </w:rPr>
              <w:t>○ Moderate savings</w:t>
            </w:r>
          </w:p>
          <w:p w14:paraId="37B0AF31" w14:textId="77777777" w:rsidR="00B84697" w:rsidRDefault="00DC51F6">
            <w:r>
              <w:rPr>
                <w:sz w:val="18"/>
              </w:rPr>
              <w:t>○ Large savings</w:t>
            </w:r>
          </w:p>
          <w:p w14:paraId="103DAEEA" w14:textId="77777777" w:rsidR="00B84697" w:rsidRPr="0044753D" w:rsidRDefault="00DC51F6">
            <w:pPr>
              <w:rPr/>
            </w:pPr>
            <w:r w:rsidRPr="0044753D">
              <w:rPr>
                <w:sz w:val="18"/>
              </w:rPr>
              <w:t xml:space="preserve">● </w:t>
            </w:r>
            <w:r w:rsidRPr="0044753D">
              <w:rPr>
                <w:sz w:val="18"/>
              </w:rPr>
              <w:t>Varies</w:t>
            </w:r>
          </w:p>
          <w:p w14:paraId="296BFEC2" w14:textId="77777777" w:rsidR="00B84697" w:rsidRDefault="00DC51F6">
            <w:r w:rsidRPr="0044753D">
              <w:rPr>
                <w:sz w:val="18"/>
              </w:rPr>
              <w:t>○ 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F191159" w14:textId="77777777" w:rsidR="008A43FC" w:rsidRDefault="00DC51F6">
            <w:r>
              <w:rPr>
                <w:sz w:val="18"/>
              </w:rPr>
              <w:t xml:space="preserve">Apps were free to responders (Derkenne 2020</w:t>
            </w:r>
            <w:r>
              <w:rPr>
                <w:sz w:val="18"/>
                <w:vertAlign w:val="superscript"/>
              </w:rPr>
              <w:t xml:space="preserve">21</w:t>
            </w:r>
            <w:r>
              <w:rPr>
                <w:sz w:val="18"/>
              </w:rPr>
              <w:t xml:space="preserve">; Smida 2022</w:t>
            </w:r>
            <w:r>
              <w:rPr>
                <w:sz w:val="18"/>
                <w:vertAlign w:val="superscript"/>
              </w:rPr>
              <w:t xml:space="preserve">12</w:t>
            </w:r>
            <w:r>
              <w:rPr>
                <w:sz w:val="18"/>
              </w:rPr>
              <w:t xml:space="preserve">); training was a free one-hour course (Pek 2025</w:t>
            </w:r>
            <w:r>
              <w:rPr>
                <w:sz w:val="18"/>
                <w:vertAlign w:val="superscript"/>
              </w:rPr>
              <w:t xml:space="preserve">6</w:t>
            </w:r>
            <w:r>
              <w:rPr>
                <w:sz w:val="18"/>
              </w:rPr>
              <w:t xml:space="preserve">); set-up and maintenance costs were “modest” (Smith 2022</w:t>
            </w:r>
            <w:r>
              <w:rPr>
                <w:sz w:val="18"/>
                <w:vertAlign w:val="superscript"/>
              </w:rPr>
              <w:t xml:space="preserve">13</w:t>
            </w:r>
            <w:r>
              <w:rPr>
                <w:sz w:val="18"/>
              </w:rPr>
              <w:t xml:space="preserve">); text messaging was “a costly technology” (Caputo 2017</w:t>
            </w:r>
            <w:r>
              <w:rPr>
                <w:sz w:val="18"/>
                <w:vertAlign w:val="superscript"/>
              </w:rPr>
              <w:t xml:space="preserve">5</w:t>
            </w:r>
            <w:r>
              <w:rPr>
                <w:sz w:val="18"/>
              </w:rPr>
              <w:t xml:space="preserve">); </w:t>
            </w:r>
            <w:bookmarkStart w:id="1" w:name="_Hlk243323017"/>
            <w:r>
              <w:rPr>
                <w:sz w:val="18"/>
              </w:rPr>
              <w:t xml:space="preserve">the canton (state) of Fribourg, Switzerland, could not fund an update of the system that dispatches its volunteer responders, because of its financial situation (Pugnale 2025</w:t>
            </w:r>
            <w:bookmarkEnd w:id="1"/>
            <w:r>
              <w:rPr>
                <w:sz w:val="18"/>
              </w:rPr>
              <w:t xml:space="preserve"/>
            </w:r>
            <w:r>
              <w:rPr>
                <w:sz w:val="18"/>
                <w:vertAlign w:val="superscript"/>
              </w:rPr>
              <w:t xml:space="preserve">22</w:t>
            </w:r>
            <w:r>
              <w:rPr>
                <w:sz w:val="18"/>
              </w:rPr>
              <w:t xml:space="preserve">). </w:t>
            </w:r>
            <w:r w:rsidRPr="00AB23ED">
              <w:rPr>
                <w:sz w:val="18"/>
              </w:rPr>
              <w:t>No included study costed the intervention.</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FBB5800" w14:textId="77777777" w:rsidR="0053025C" w:rsidRDefault="00DC51F6">
            <w:r w:rsidRPr="00AB23ED">
              <w:rPr>
                <w:sz w:val="18"/>
              </w:rPr>
              <w:t>Costs depend on what already exists</w:t>
            </w:r>
            <w:r>
              <w:rPr>
                <w:sz w:val="18"/>
              </w:rPr>
              <w:t>: dispatch software, an AED registry and a responder pool.</w:t>
            </w:r>
          </w:p>
        </w:tc>
      </w:tr>
      <w:tr w:rsidR="00D92784" w:rsidRPr="001E0F0C" w14:paraId="3B347C8D"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0A93A60B" w14:textId="77777777" w:rsidR="00D92784" w:rsidRPr="001E0F0C" w:rsidRDefault="00B909BD">
            <w:pPr>
              <w:pStyle w:val="Heading2"/>
              <w:keepNext/>
              <w:spacing w:before="0" w:beforeAutospacing="0" w:after="0" w:afterAutospacing="0" w:line="240" w:lineRule="atLeast"/>
              <w:divId w:val="2016229551"/>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Certainty of evidence of required resources</w:t>
            </w:r>
          </w:p>
          <w:p w14:paraId="5D55AF57" w14:textId="77777777" w:rsidR="00D92784" w:rsidRPr="001E0F0C" w:rsidRDefault="00B909BD">
            <w:pPr>
              <w:pStyle w:val="Sottotitolo1"/>
              <w:keepNext/>
              <w:spacing w:before="0" w:beforeAutospacing="0" w:after="0" w:afterAutospacing="0" w:line="240" w:lineRule="atLeast"/>
              <w:divId w:val="2016229551"/>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What is the certainty of the evidence of resource requirements (costs)?</w:t>
            </w:r>
          </w:p>
        </w:tc>
      </w:tr>
      <w:tr w:rsidR="00D92784" w:rsidRPr="001E0F0C" w14:paraId="26EB9872"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79B0A95"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1F1DC68"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6A1594B"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6AD5637F" w14:textId="77777777" w:rsidTr="00DF78D1">
        <w:trPr>
          <w:divId w:val="1131899364"/>
          <w:cantSplit/>
          <w:trHeight w:val="1134"/>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7440D2E" w14:textId="77777777" w:rsidR="008A43FC" w:rsidRDefault="00DC51F6">
            <w:r>
              <w:rPr>
                <w:sz w:val="18"/>
              </w:rPr>
              <w:t>○ Very low</w:t>
            </w:r>
          </w:p>
          <w:p w14:paraId="48BA674A" w14:textId="77777777" w:rsidR="00B84697" w:rsidRDefault="00DC51F6">
            <w:r>
              <w:rPr>
                <w:sz w:val="18"/>
              </w:rPr>
              <w:t>○ Low</w:t>
            </w:r>
          </w:p>
          <w:p w14:paraId="321969F6" w14:textId="77777777" w:rsidR="00B84697" w:rsidRDefault="00DC51F6">
            <w:r>
              <w:rPr>
                <w:sz w:val="18"/>
              </w:rPr>
              <w:t>○ Moderate</w:t>
            </w:r>
          </w:p>
          <w:p w14:paraId="1402C14F" w14:textId="77777777" w:rsidR="00B84697" w:rsidRDefault="00DC51F6">
            <w:r>
              <w:rPr>
                <w:sz w:val="18"/>
              </w:rPr>
              <w:t>○ High</w:t>
            </w:r>
          </w:p>
          <w:p w14:paraId="48BEBD5B" w14:textId="77777777" w:rsidR="00B84697" w:rsidRDefault="00DC51F6">
            <w:r>
              <w:rPr>
                <w:sz w:val="18"/>
              </w:rPr>
              <w:t xml:space="preserve">● </w:t>
            </w:r>
            <w:r w:rsidRPr="00AB23ED">
              <w:rPr>
                <w:sz w:val="18"/>
              </w:rPr>
              <w:t>No included studies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87314BD" w14:textId="77777777" w:rsidR="008A43FC" w:rsidRDefault="00DC51F6">
            <w:r w:rsidRPr="00AB23ED">
              <w:rPr>
                <w:sz w:val="18"/>
              </w:rPr>
              <w:t>No included study reports resource use or costs in a form that can be appraised.</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1EF77D7" w14:textId="77777777" w:rsidR="008A43FC" w:rsidRDefault="00DC51F6">
            <w:r>
              <w:rPr>
                <w:sz w:val="18"/>
              </w:rPr>
              <w:t>None.</w:t>
            </w:r>
          </w:p>
        </w:tc>
      </w:tr>
      <w:tr w:rsidR="00D92784" w:rsidRPr="001E0F0C" w14:paraId="34A7F93B"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1756EAA9" w14:textId="77777777" w:rsidR="00D92784" w:rsidRPr="001E0F0C" w:rsidRDefault="00B909BD">
            <w:pPr>
              <w:pStyle w:val="Heading2"/>
              <w:keepNext/>
              <w:spacing w:before="0" w:beforeAutospacing="0" w:after="0" w:afterAutospacing="0" w:line="240" w:lineRule="atLeast"/>
              <w:divId w:val="1818179073"/>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Cost effectiveness</w:t>
            </w:r>
          </w:p>
          <w:p w14:paraId="7C75220B" w14:textId="77777777" w:rsidR="00D92784" w:rsidRPr="001E0F0C" w:rsidRDefault="00B909BD">
            <w:pPr>
              <w:pStyle w:val="Sottotitolo1"/>
              <w:keepNext/>
              <w:spacing w:before="0" w:beforeAutospacing="0" w:after="0" w:afterAutospacing="0" w:line="240" w:lineRule="atLeast"/>
              <w:divId w:val="1818179073"/>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Does the cost-effectiveness of the intervention favor the intervention or the comparison?</w:t>
            </w:r>
          </w:p>
        </w:tc>
      </w:tr>
      <w:tr w:rsidR="00D92784" w:rsidRPr="001E0F0C" w14:paraId="3502C005"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B11223A"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B5AE416"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8ECF1BC"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92784" w:rsidRPr="001E0F0C" w14:paraId="27491FDF" w14:textId="77777777" w:rsidTr="00DF78D1">
        <w:trPr>
          <w:divId w:val="1131899364"/>
          <w:cantSplit/>
          <w:trHeight w:val="1618"/>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58D49EC" w14:textId="77777777" w:rsidR="008A43FC" w:rsidRDefault="00DC51F6">
            <w:r>
              <w:rPr>
                <w:sz w:val="18"/>
              </w:rPr>
              <w:t>○ Favors the comparison</w:t>
            </w:r>
          </w:p>
          <w:p w14:paraId="5859AEDC" w14:textId="77777777" w:rsidR="00B84697" w:rsidRDefault="00DC51F6">
            <w:r>
              <w:rPr>
                <w:sz w:val="18"/>
              </w:rPr>
              <w:t>○ Probably favors the comparison</w:t>
            </w:r>
          </w:p>
          <w:p w14:paraId="03961CBF" w14:textId="77777777" w:rsidR="00B84697" w:rsidRDefault="00DC51F6">
            <w:r>
              <w:rPr>
                <w:sz w:val="18"/>
              </w:rPr>
              <w:t>○ Does not favor either the intervention or the comparison</w:t>
            </w:r>
          </w:p>
          <w:p w14:paraId="30D9714D" w14:textId="77777777" w:rsidR="00B84697" w:rsidRDefault="00DC51F6">
            <w:r>
              <w:rPr>
                <w:sz w:val="18"/>
              </w:rPr>
              <w:t>○ Probably favors the intervention</w:t>
            </w:r>
          </w:p>
          <w:p w14:paraId="20DC6D5E" w14:textId="77777777" w:rsidR="00B84697" w:rsidRDefault="00DC51F6">
            <w:r>
              <w:rPr>
                <w:sz w:val="18"/>
              </w:rPr>
              <w:t>○ Favors the intervention</w:t>
            </w:r>
          </w:p>
          <w:p w14:paraId="435C732F" w14:textId="77777777" w:rsidR="00B84697" w:rsidRDefault="00DC51F6">
            <w:r>
              <w:rPr>
                <w:sz w:val="18"/>
              </w:rPr>
              <w:t>○ Varies</w:t>
            </w:r>
          </w:p>
          <w:p w14:paraId="4CBBA937" w14:textId="77777777" w:rsidR="00B84697" w:rsidRDefault="00DC51F6">
            <w:r>
              <w:rPr>
                <w:sz w:val="18"/>
              </w:rPr>
              <w:t xml:space="preserve">● </w:t>
            </w:r>
            <w:r w:rsidRPr="00AB23ED">
              <w:rPr>
                <w:sz w:val="18"/>
              </w:rPr>
              <w:t>No included studies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6578656" w14:textId="77777777" w:rsidR="008A43FC" w:rsidRDefault="00DC51F6">
            <w:r>
              <w:rPr>
                <w:sz w:val="18"/>
              </w:rPr>
              <w:t xml:space="preserve">No included study </w:t>
            </w:r>
            <w:proofErr w:type="spellStart"/>
            <w:r>
              <w:rPr>
                <w:sz w:val="18"/>
              </w:rPr>
              <w:t>contains</w:t>
            </w:r>
            <w:proofErr w:type="spellEnd"/>
            <w:r>
              <w:rPr>
                <w:sz w:val="18"/>
              </w:rPr>
              <w:t xml:space="preserve"> an </w:t>
            </w:r>
            <w:proofErr w:type="spellStart"/>
            <w:r>
              <w:rPr>
                <w:sz w:val="18"/>
              </w:rPr>
              <w:t>economic</w:t>
            </w:r>
            <w:proofErr w:type="spellEnd"/>
            <w:r>
              <w:rPr>
                <w:sz w:val="18"/>
              </w:rPr>
              <w:t xml:space="preserve"> </w:t>
            </w:r>
            <w:proofErr w:type="spellStart"/>
            <w:r>
              <w:rPr>
                <w:sz w:val="18"/>
              </w:rPr>
              <w:t>evaluation</w:t>
            </w:r>
            <w:proofErr w:type="spellEnd"/>
            <w:r>
              <w:rPr>
                <w:sz w:val="18"/>
              </w:rPr>
              <w:t>.</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6C96589" w14:textId="77777777" w:rsidR="008A43FC" w:rsidRDefault="00DC51F6">
            <w:r w:rsidRPr="00AB23ED">
              <w:rPr>
                <w:sz w:val="18"/>
              </w:rPr>
              <w:t>Economic models need a survival effect that this review could not determine.</w:t>
            </w:r>
          </w:p>
        </w:tc>
      </w:tr>
      <w:tr w:rsidR="00D92784" w:rsidRPr="001E0F0C" w14:paraId="1F7BEC8A"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3B588574" w14:textId="77777777" w:rsidR="00D92784" w:rsidRPr="001E0F0C" w:rsidRDefault="00B909BD">
            <w:pPr>
              <w:pStyle w:val="Heading2"/>
              <w:keepNext/>
              <w:spacing w:before="0" w:beforeAutospacing="0" w:after="0" w:afterAutospacing="0" w:line="240" w:lineRule="atLeast"/>
              <w:divId w:val="713699978"/>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lastRenderedPageBreak/>
              <w:t>Equity</w:t>
            </w:r>
          </w:p>
          <w:p w14:paraId="4E048C01" w14:textId="77777777" w:rsidR="00D92784" w:rsidRPr="001E0F0C" w:rsidRDefault="00B909BD">
            <w:pPr>
              <w:pStyle w:val="Sottotitolo1"/>
              <w:keepNext/>
              <w:spacing w:before="0" w:beforeAutospacing="0" w:after="0" w:afterAutospacing="0" w:line="240" w:lineRule="atLeast"/>
              <w:divId w:val="713699978"/>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What would be the impact on health equity?</w:t>
            </w:r>
          </w:p>
        </w:tc>
      </w:tr>
      <w:tr w:rsidR="00D92784" w:rsidRPr="001E0F0C" w14:paraId="4F864776"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02E2C5E"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66901DE"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57974E4"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87785" w:rsidRPr="001E0F0C" w14:paraId="15FC8ED1"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D7064A3" w14:textId="77777777" w:rsidR="008A43FC" w:rsidRDefault="00DC51F6">
            <w:r>
              <w:rPr>
                <w:sz w:val="18"/>
              </w:rPr>
              <w:t>○ Reduced</w:t>
            </w:r>
          </w:p>
          <w:p w14:paraId="0BD1BB34" w14:textId="77777777" w:rsidR="00B84697" w:rsidRDefault="00DC51F6">
            <w:r>
              <w:rPr>
                <w:sz w:val="18"/>
              </w:rPr>
              <w:t>○ Probably reduced</w:t>
            </w:r>
          </w:p>
          <w:p w14:paraId="08076248" w14:textId="77777777" w:rsidR="00B84697" w:rsidRDefault="00DC51F6">
            <w:r>
              <w:rPr>
                <w:sz w:val="18"/>
              </w:rPr>
              <w:t>○ Probably no impact</w:t>
            </w:r>
          </w:p>
          <w:p w14:paraId="1E5213F6" w14:textId="77777777" w:rsidR="00B84697" w:rsidRDefault="00DC51F6">
            <w:r>
              <w:rPr>
                <w:sz w:val="18"/>
              </w:rPr>
              <w:t>○ Probably increased</w:t>
            </w:r>
          </w:p>
          <w:p w14:paraId="4DD499DC" w14:textId="77777777" w:rsidR="00B84697" w:rsidRDefault="00DC51F6">
            <w:r>
              <w:rPr>
                <w:sz w:val="18"/>
              </w:rPr>
              <w:t>○ Increased</w:t>
            </w:r>
          </w:p>
          <w:p w14:paraId="701F706D" w14:textId="77777777" w:rsidR="00B84697" w:rsidRDefault="00DC51F6">
            <w:r>
              <w:rPr>
                <w:sz w:val="18"/>
              </w:rPr>
              <w:t>● Varies</w:t>
            </w:r>
          </w:p>
          <w:p w14:paraId="0128E7D5" w14:textId="77777777" w:rsidR="00B84697" w:rsidRDefault="00DC51F6">
            <w:r>
              <w:rPr>
                <w:sz w:val="18"/>
              </w:rPr>
              <w:t>○ 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9528EF4" w14:textId="77777777" w:rsidR="008A43FC" w:rsidRDefault="00DC51F6">
            <w:r w:rsidRPr="00AB23ED">
              <w:rPr>
                <w:sz w:val="18"/>
              </w:rPr>
              <w:t>No study measured equity as an outcome.</w:t>
            </w:r>
            <w:r>
              <w:rPr>
                <w:sz w:val="18"/>
              </w:rPr>
              <w:t xml:space="preserve"> System design decides who is reached: </w:t>
            </w:r>
            <w:r w:rsidRPr="0044753D">
              <w:rPr>
                <w:sz w:val="18"/>
              </w:rPr>
              <w:t>a public-only system leaves out most arrests, which occur at hom</w:t>
            </w:r>
            <w:r>
              <w:rPr>
                <w:sz w:val="18"/>
              </w:rPr>
              <w:t xml:space="preserve">e (82.1% of resuscitation attempts with a recorded location, Smida 2022</w:t>
            </w:r>
            <w:r>
              <w:rPr>
                <w:sz w:val="18"/>
                <w:vertAlign w:val="superscript"/>
              </w:rPr>
              <w:t xml:space="preserve">12</w:t>
            </w:r>
            <w:r>
              <w:rPr>
                <w:sz w:val="18"/>
              </w:rPr>
              <w:t xml:space="preserve">); where homes are included, responders reach them as often as public places (</w:t>
            </w:r>
            <w:proofErr w:type="spellStart"/>
            <w:r>
              <w:rPr>
                <w:sz w:val="18"/>
              </w:rPr>
              <w:t>Andelius</w:t>
            </w:r>
            <w:proofErr w:type="spellEnd"/>
            <w:r>
              <w:rPr>
                <w:sz w:val="18"/>
              </w:rPr>
              <w:t xml:space="preserve"> 2023</w:t>
            </w:r>
            <w:r>
              <w:rPr>
                <w:sz w:val="18"/>
                <w:vertAlign w:val="superscript"/>
              </w:rPr>
              <w:t xml:space="preserve">23</w:t>
            </w:r>
            <w:r>
              <w:rPr>
                <w:sz w:val="18"/>
              </w:rPr>
              <w:t xml:space="preserve">); </w:t>
            </w:r>
            <w:proofErr w:type="spellStart"/>
            <w:r w:rsidRPr="0044753D">
              <w:rPr>
                <w:sz w:val="18"/>
              </w:rPr>
              <w:t>arrival</w:t>
            </w:r>
            <w:proofErr w:type="spellEnd"/>
            <w:r w:rsidRPr="0044753D">
              <w:rPr>
                <w:sz w:val="18"/>
              </w:rPr>
              <w:t xml:space="preserve"> </w:t>
            </w:r>
            <w:proofErr w:type="spellStart"/>
            <w:r w:rsidRPr="0044753D">
              <w:rPr>
                <w:sz w:val="18"/>
              </w:rPr>
              <w:t>before</w:t>
            </w:r>
            <w:proofErr w:type="spellEnd"/>
            <w:r w:rsidRPr="0044753D">
              <w:rPr>
                <w:sz w:val="18"/>
              </w:rPr>
              <w:t xml:space="preserve"> EMS </w:t>
            </w:r>
            <w:proofErr w:type="spellStart"/>
            <w:r w:rsidRPr="0044753D">
              <w:rPr>
                <w:sz w:val="18"/>
              </w:rPr>
              <w:t>rises</w:t>
            </w:r>
            <w:proofErr w:type="spellEnd"/>
            <w:r w:rsidRPr="0044753D">
              <w:rPr>
                <w:sz w:val="18"/>
              </w:rPr>
              <w:t xml:space="preserve"> with longer EMS response times (23%, 47%, 71%; Andelius 2020</w:t>
            </w:r>
            <w:r w:rsidRPr="0044753D">
              <w:rPr>
                <w:sz w:val="18"/>
                <w:vertAlign w:val="superscript"/>
              </w:rPr>
              <w:t xml:space="preserve">14</w:t>
            </w:r>
            <w:r w:rsidRPr="0044753D">
              <w:rPr>
                <w:sz w:val="18"/>
              </w:rPr>
              <w:t xml:space="preserve">)</w:t>
            </w:r>
            <w:r>
              <w:rPr>
                <w:sz w:val="18"/>
              </w:rPr>
              <w:t xml:space="preserve">, so systems can help most where EMS is slowest; coverage windows </w:t>
            </w:r>
            <w:proofErr w:type="spellStart"/>
            <w:r>
              <w:rPr>
                <w:sz w:val="18"/>
              </w:rPr>
              <w:t>exclude</w:t>
            </w:r>
            <w:proofErr w:type="spellEnd"/>
            <w:r>
              <w:rPr>
                <w:sz w:val="18"/>
              </w:rPr>
              <w:t xml:space="preserve"> </w:t>
            </w:r>
            <w:r w:rsidRPr="0044753D">
              <w:rPr>
                <w:sz w:val="18"/>
              </w:rPr>
              <w:t xml:space="preserve">night hours </w:t>
            </w:r>
            <w:r>
              <w:rPr>
                <w:sz w:val="18"/>
              </w:rPr>
              <w:t xml:space="preserve">(06:00–23:00, </w:t>
            </w:r>
            <w:proofErr w:type="spellStart"/>
            <w:r>
              <w:rPr>
                <w:sz w:val="18"/>
              </w:rPr>
              <w:t>Ringh</w:t>
            </w:r>
            <w:proofErr w:type="spellEnd"/>
            <w:r>
              <w:rPr>
                <w:sz w:val="18"/>
              </w:rPr>
              <w:t xml:space="preserve"> 2015</w:t>
            </w:r>
            <w:r>
              <w:rPr>
                <w:sz w:val="18"/>
                <w:vertAlign w:val="superscript"/>
              </w:rPr>
              <w:t xml:space="preserve">3</w:t>
            </w:r>
            <w:r>
              <w:rPr>
                <w:sz w:val="18"/>
              </w:rPr>
              <w:t xml:space="preserve">; 06:00–22:00, Lee 2019</w:t>
            </w:r>
            <w:r>
              <w:rPr>
                <w:sz w:val="18"/>
                <w:vertAlign w:val="superscript"/>
              </w:rPr>
              <w:t xml:space="preserve">7</w:t>
            </w:r>
            <w:r>
              <w:rPr>
                <w:sz w:val="18"/>
              </w:rPr>
              <w:t xml:space="preserve">).</w:t>
            </w:r>
            <w:r>
              <w:rPr>
                <w:sz w:val="18"/>
              </w:rPr>
              <w:t xml:space="preserve"> No study reported estimates for rural or remote areas (the Capital Region of Denmark, which includes urban and rural areas, was analyzed as a whole; Andelius 2020</w:t>
            </w:r>
            <w:r>
              <w:rPr>
                <w:sz w:val="18"/>
                <w:vertAlign w:val="superscript"/>
              </w:rPr>
              <w:t xml:space="preserve">14</w:t>
            </w:r>
            <w:r>
              <w:rPr>
                <w:sz w:val="18"/>
              </w:rPr>
              <w:t xml:space="preserve">).</w:t>
            </w:r>
          </w:p>
          <w:p w14:paraId="0F42DF71" w14:textId="77777777" w:rsidR="00B84697" w:rsidRDefault="00DC51F6">
            <w:r>
              <w:rPr>
                <w:sz w:val="18"/>
              </w:rPr>
              <w:t xml:space="preserve">Smartphone access and language were not studied; </w:t>
            </w:r>
            <w:r w:rsidRPr="00AB23ED">
              <w:rPr>
                <w:sz w:val="18"/>
              </w:rPr>
              <w:t>no evidence from low- or middle-income settings</w:t>
            </w:r>
            <w:r>
              <w:rPr>
                <w:sz w:val="18"/>
              </w:rPr>
              <w:t>.</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382A4E5" w14:textId="77777777" w:rsidR="008A43FC" w:rsidRDefault="00DC51F6">
            <w:r>
              <w:rPr>
                <w:sz w:val="18"/>
              </w:rPr>
              <w:t>The impact depends on design: covering homes and night hours, and recruiting responders where EMS response is slow, favor equity; public-only or daytime-only systems work against it.</w:t>
            </w:r>
          </w:p>
        </w:tc>
      </w:tr>
      <w:tr w:rsidR="00D87785" w:rsidRPr="001E0F0C" w14:paraId="029F9C48"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14FFAACD" w14:textId="77777777" w:rsidR="00D87785" w:rsidRPr="001E0F0C" w:rsidRDefault="00D87785" w:rsidP="00D87785">
            <w:pPr>
              <w:pStyle w:val="Heading2"/>
              <w:keepNext/>
              <w:spacing w:before="0" w:beforeAutospacing="0" w:after="0" w:afterAutospacing="0" w:line="240" w:lineRule="atLeast"/>
              <w:divId w:val="1032801479"/>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Acceptability</w:t>
            </w:r>
          </w:p>
          <w:p w14:paraId="2F484584" w14:textId="77777777" w:rsidR="00D87785" w:rsidRPr="001E0F0C" w:rsidRDefault="00D87785" w:rsidP="00D87785">
            <w:pPr>
              <w:pStyle w:val="Sottotitolo1"/>
              <w:keepNext/>
              <w:spacing w:before="0" w:beforeAutospacing="0" w:after="0" w:afterAutospacing="0" w:line="240" w:lineRule="atLeast"/>
              <w:divId w:val="1032801479"/>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Is the intervention acceptable to key stakeholders?</w:t>
            </w:r>
          </w:p>
        </w:tc>
      </w:tr>
      <w:tr w:rsidR="00D87785" w:rsidRPr="001E0F0C" w14:paraId="08292D69"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03B1E48" w14:textId="77777777" w:rsidR="00D87785" w:rsidRPr="001E0F0C" w:rsidRDefault="00D87785" w:rsidP="00D87785">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705811F" w14:textId="77777777" w:rsidR="00D87785" w:rsidRPr="001E0F0C" w:rsidRDefault="00D87785" w:rsidP="00D87785">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9374399" w14:textId="77777777" w:rsidR="00D87785" w:rsidRPr="001E0F0C" w:rsidRDefault="00D87785" w:rsidP="00D87785">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87785" w:rsidRPr="001E0F0C" w14:paraId="219ED25D"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EBFCD0B" w14:textId="77777777" w:rsidR="008A43FC" w:rsidRDefault="00DC51F6">
            <w:r>
              <w:rPr>
                <w:sz w:val="18"/>
              </w:rPr>
              <w:t>○ No</w:t>
            </w:r>
          </w:p>
          <w:p w14:paraId="0F29E5CE" w14:textId="77777777" w:rsidR="00B84697" w:rsidRDefault="00DC51F6">
            <w:r>
              <w:rPr>
                <w:sz w:val="18"/>
              </w:rPr>
              <w:t>○ Probably no</w:t>
            </w:r>
          </w:p>
          <w:p w14:paraId="5561DC43" w14:textId="77777777" w:rsidR="00B84697" w:rsidRDefault="00DC51F6">
            <w:r>
              <w:rPr>
                <w:sz w:val="18"/>
              </w:rPr>
              <w:t xml:space="preserve">● </w:t>
            </w:r>
            <w:r w:rsidRPr="00AB23ED">
              <w:rPr>
                <w:sz w:val="18"/>
              </w:rPr>
              <w:t>Probably yes</w:t>
            </w:r>
          </w:p>
          <w:p w14:paraId="264BDAAC" w14:textId="77777777" w:rsidR="00B84697" w:rsidRDefault="00DC51F6">
            <w:r>
              <w:rPr>
                <w:sz w:val="18"/>
              </w:rPr>
              <w:t>○ Yes</w:t>
            </w:r>
          </w:p>
          <w:p w14:paraId="4710B447" w14:textId="77777777" w:rsidR="00B84697" w:rsidRDefault="00DC51F6">
            <w:r>
              <w:rPr>
                <w:sz w:val="18"/>
              </w:rPr>
              <w:t>○ Varies</w:t>
            </w:r>
          </w:p>
          <w:p w14:paraId="66E0DFAF" w14:textId="77777777" w:rsidR="00B84697" w:rsidRDefault="00DC51F6">
            <w:r>
              <w:rPr>
                <w:sz w:val="18"/>
              </w:rPr>
              <w:t>○ 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BF218E2" w14:textId="77777777" w:rsidR="008A43FC" w:rsidRDefault="00DC51F6">
            <w:pPr>
              <w:spacing w:before="60" w:after="60"/>
            </w:pPr>
            <w:r>
              <w:rPr>
                <w:sz w:val="18"/>
              </w:rPr>
              <w:t xml:space="preserve">Responders: of those who answered the survey sent after an alert (response 75%), 99% (1,602/1,618) wished to continue (Andelius 2020</w:t>
            </w:r>
            <w:r w:rsidRPr="0044753D">
              <w:rPr>
                <w:sz w:val="18"/>
              </w:rPr>
              <w:t xml:space="preserve"/>
            </w:r>
            <w:r>
              <w:rPr>
                <w:sz w:val="18"/>
              </w:rPr>
              <w:t xml:space="preserve"/>
            </w:r>
            <w:r>
              <w:rPr>
                <w:sz w:val="18"/>
                <w:vertAlign w:val="superscript"/>
              </w:rPr>
              <w:t xml:space="preserve">14</w:t>
            </w:r>
            <w:r>
              <w:rPr>
                <w:sz w:val="18"/>
              </w:rPr>
              <w:t xml:space="preserve">); almost 10,000 </w:t>
            </w:r>
            <w:r w:rsidRPr="0044753D">
              <w:rPr>
                <w:sz w:val="18"/>
              </w:rPr>
              <w:t xml:space="preserve">joined without compensation </w:t>
            </w:r>
            <w:r>
              <w:rPr>
                <w:sz w:val="18"/>
              </w:rPr>
              <w:t xml:space="preserve">(Ringh 2015</w:t>
            </w:r>
            <w:r>
              <w:rPr>
                <w:sz w:val="18"/>
                <w:vertAlign w:val="superscript"/>
              </w:rPr>
              <w:t xml:space="preserve">3</w:t>
            </w:r>
            <w:r>
              <w:rPr>
                <w:sz w:val="18"/>
              </w:rPr>
              <w:t xml:space="preserve">).</w:t>
            </w:r>
          </w:p>
          <w:p w14:paraId="71B18DE9" w14:textId="77777777" w:rsidR="00B84697" w:rsidRDefault="00DC51F6">
            <w:pPr>
              <w:spacing w:before="60" w:after="60"/>
            </w:pPr>
            <w:r>
              <w:rPr>
                <w:sz w:val="18"/>
              </w:rPr>
              <w:t xml:space="preserve">Public: 96–98% did not object to a notification system (Dainty 2017</w:t>
            </w:r>
            <w:r>
              <w:rPr>
                <w:sz w:val="18"/>
                <w:vertAlign w:val="superscript"/>
              </w:rPr>
              <w:t xml:space="preserve">20</w:t>
            </w:r>
            <w:r>
              <w:rPr>
                <w:sz w:val="18"/>
              </w:rPr>
              <w:t xml:space="preserv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39E0E7E" w14:textId="77777777" w:rsidR="008A43FC" w:rsidRDefault="00DC51F6">
            <w:r>
              <w:rPr>
                <w:sz w:val="18"/>
              </w:rPr>
              <w:t>No study of dispatchers or survivors; no evidence outside high-income settings.</w:t>
            </w:r>
          </w:p>
        </w:tc>
      </w:tr>
      <w:tr w:rsidR="00D87785" w:rsidRPr="001E0F0C" w14:paraId="536C1DB1" w14:textId="77777777">
        <w:trPr>
          <w:divId w:val="1131899364"/>
          <w:cantSplit/>
        </w:trPr>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64F90469" w14:textId="77777777" w:rsidR="00D87785" w:rsidRPr="001E0F0C" w:rsidRDefault="00D87785" w:rsidP="00D87785">
            <w:pPr>
              <w:pStyle w:val="Heading2"/>
              <w:keepNext/>
              <w:spacing w:before="0" w:beforeAutospacing="0" w:after="0" w:afterAutospacing="0" w:line="240" w:lineRule="atLeast"/>
              <w:divId w:val="5524679"/>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Feasibility</w:t>
            </w:r>
          </w:p>
          <w:p w14:paraId="402B2D0D" w14:textId="77777777" w:rsidR="00D87785" w:rsidRPr="001E0F0C" w:rsidRDefault="00D87785" w:rsidP="00D87785">
            <w:pPr>
              <w:pStyle w:val="Sottotitolo1"/>
              <w:keepNext/>
              <w:spacing w:before="0" w:beforeAutospacing="0" w:after="0" w:afterAutospacing="0" w:line="240" w:lineRule="atLeast"/>
              <w:divId w:val="5524679"/>
              <w:rPr>
                <w:rFonts w:asciiTheme="minorHAnsi" w:hAnsiTheme="minorHAnsi" w:cstheme="minorHAnsi"/>
                <w:color w:val="FFFFFF"/>
                <w:sz w:val="20"/>
                <w:szCs w:val="20"/>
                <w:lang w:val="en-US"/>
              </w:rPr>
            </w:pPr>
            <w:r>
              <w:rPr>
                <w:rFonts w:asciiTheme="minorHAnsi" w:hAnsiTheme="minorHAnsi" w:cstheme="minorHAnsi"/>
                <w:color w:val="FFFFFF"/>
                <w:sz w:val="20"/>
                <w:szCs w:val="20"/>
                <w:lang w:val="en-US"/>
              </w:rPr>
              <w:t>Is the intervention feasible to implement?</w:t>
            </w:r>
          </w:p>
        </w:tc>
      </w:tr>
      <w:tr w:rsidR="00D87785" w:rsidRPr="001E0F0C" w14:paraId="00C39385"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5BC0490" w14:textId="77777777" w:rsidR="00D87785" w:rsidRPr="001E0F0C" w:rsidRDefault="00D87785" w:rsidP="00D87785">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Judgement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907EC6B" w14:textId="77777777" w:rsidR="00D87785" w:rsidRPr="001E0F0C" w:rsidRDefault="00D87785" w:rsidP="00D87785">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Research evidence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005921F" w14:textId="77777777" w:rsidR="00D87785" w:rsidRPr="001E0F0C" w:rsidRDefault="00D87785" w:rsidP="00D87785">
            <w:pPr>
              <w:pStyle w:val="Heading2"/>
              <w:keepNext/>
              <w:spacing w:before="0" w:beforeAutospacing="0" w:after="0" w:afterAutospacing="0" w:line="240" w:lineRule="atLeast"/>
              <w:rPr>
                <w:rFonts w:asciiTheme="minorHAnsi" w:eastAsia="Times New Roman" w:hAnsiTheme="minorHAnsi" w:cstheme="minorHAnsi"/>
                <w:caps/>
                <w:sz w:val="20"/>
                <w:szCs w:val="20"/>
              </w:rPr>
            </w:pPr>
            <w:r>
              <w:rPr>
                <w:rFonts w:asciiTheme="minorHAnsi" w:eastAsia="Times New Roman" w:hAnsiTheme="minorHAnsi" w:cstheme="minorHAnsi"/>
                <w:caps/>
                <w:sz w:val="20"/>
                <w:szCs w:val="20"/>
              </w:rPr>
              <w:t>Additional considerations</w:t>
            </w:r>
          </w:p>
        </w:tc>
      </w:tr>
      <w:tr w:rsidR="00D87785" w:rsidRPr="001E0F0C" w14:paraId="305C9416" w14:textId="77777777">
        <w:trPr>
          <w:divId w:val="1131899364"/>
          <w:cantSplit/>
        </w:trPr>
        <w:tc>
          <w:tcPr>
            <w:tcW w:w="32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9FF0A23" w14:textId="77777777" w:rsidR="008A43FC" w:rsidRDefault="00DC51F6">
            <w:r>
              <w:rPr>
                <w:sz w:val="18"/>
              </w:rPr>
              <w:t>○ No</w:t>
            </w:r>
          </w:p>
          <w:p w14:paraId="7834E317" w14:textId="77777777" w:rsidR="00B84697" w:rsidRDefault="00DC51F6">
            <w:r>
              <w:rPr>
                <w:sz w:val="18"/>
              </w:rPr>
              <w:t>○ Probably no</w:t>
            </w:r>
          </w:p>
          <w:p w14:paraId="1FF8D0C2" w14:textId="77777777" w:rsidR="00B84697" w:rsidRDefault="00DC51F6">
            <w:r>
              <w:rPr>
                <w:sz w:val="18"/>
              </w:rPr>
              <w:t xml:space="preserve">● </w:t>
            </w:r>
            <w:r w:rsidRPr="00AB23ED">
              <w:rPr>
                <w:sz w:val="18"/>
              </w:rPr>
              <w:t>Probably yes</w:t>
            </w:r>
          </w:p>
          <w:p w14:paraId="276D6F6E" w14:textId="77777777" w:rsidR="00B84697" w:rsidRDefault="00DC51F6">
            <w:r>
              <w:rPr>
                <w:sz w:val="18"/>
              </w:rPr>
              <w:t>○ Yes</w:t>
            </w:r>
          </w:p>
          <w:p w14:paraId="2C589758" w14:textId="77777777" w:rsidR="00B84697" w:rsidRDefault="00DC51F6">
            <w:r>
              <w:rPr>
                <w:sz w:val="18"/>
              </w:rPr>
              <w:t>○ Varies</w:t>
            </w:r>
          </w:p>
          <w:p w14:paraId="5DB2D047" w14:textId="77777777" w:rsidR="00B84697" w:rsidRDefault="00DC51F6">
            <w:r>
              <w:rPr>
                <w:sz w:val="18"/>
              </w:rPr>
              <w:t>○ Don't know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FED0E4F" w14:textId="77777777" w:rsidR="008A43FC" w:rsidRDefault="00DC51F6">
            <w:pPr>
              <w:spacing w:before="60" w:after="60"/>
            </w:pPr>
            <w:r>
              <w:rPr>
                <w:sz w:val="18"/>
              </w:rPr>
              <w:t xml:space="preserve">Notification systems run at national scale in several countries. In the RCT, a volunteer reached the scene in 59% of intervention-arm cases and arrived before EMS in 23%, and dispatchers did not activate the system for 26% of eligible patients (Ringh 2015</w:t>
            </w:r>
            <w:r>
              <w:rPr>
                <w:sz w:val="18"/>
                <w:vertAlign w:val="superscript"/>
              </w:rPr>
              <w:t xml:space="preserve">3</w:t>
            </w:r>
            <w:r>
              <w:rPr>
                <w:sz w:val="18"/>
              </w:rPr>
              <w:t xml:space="preserve">). 6.6% of 144,555 alerts were accepted (Pek 2025</w:t>
            </w:r>
            <w:r>
              <w:rPr>
                <w:sz w:val="18"/>
                <w:vertAlign w:val="superscript"/>
              </w:rPr>
              <w:t xml:space="preserve">6</w:t>
            </w:r>
            <w:r>
              <w:rPr>
                <w:sz w:val="18"/>
              </w:rPr>
              <w:t xml:space="preserve">); the system was not activated in 41.8% of EMS-treated arrests in two Dutch regions (Zijlstra 2014</w:t>
            </w:r>
            <w:r>
              <w:rPr>
                <w:sz w:val="18"/>
                <w:vertAlign w:val="superscript"/>
              </w:rPr>
              <w:t xml:space="preserve">24</w:t>
            </w:r>
            <w:r>
              <w:rPr>
                <w:sz w:val="18"/>
              </w:rPr>
              <w:t xml:space="preserve">). Across 12 systems, responders accepted 28.7% of alerts (Scquizzato 2020</w:t>
            </w:r>
            <w:r>
              <w:rPr>
                <w:sz w:val="18"/>
                <w:vertAlign w:val="superscript"/>
              </w:rPr>
              <w:t xml:space="preserve">25</w:t>
            </w:r>
            <w:r>
              <w:rPr>
                <w:sz w:val="18"/>
              </w:rPr>
              <w:t xml:space="preserve">). Systems were paused during t</w:t>
            </w:r>
            <w:r>
              <w:rPr>
                <w:sz w:val="18"/>
              </w:rPr>
              <w:t xml:space="preserve">he COVID-19 pandemic (Berglund 2023</w:t>
            </w:r>
            <w:r>
              <w:rPr>
                <w:sz w:val="18"/>
                <w:vertAlign w:val="superscript"/>
              </w:rPr>
              <w:t xml:space="preserve">4</w:t>
            </w:r>
            <w:r>
              <w:rPr>
                <w:sz w:val="18"/>
              </w:rPr>
              <w:t xml:space="preserve">; Takahashi 2025</w:t>
            </w:r>
            <w:r>
              <w:rPr>
                <w:sz w:val="18"/>
                <w:vertAlign w:val="superscript"/>
              </w:rPr>
              <w:t xml:space="preserve">8</w:t>
            </w:r>
            <w:r>
              <w:rPr>
                <w:sz w:val="18"/>
              </w:rPr>
              <w:t xml:space="preserve">).</w:t>
            </w:r>
          </w:p>
        </w:tc>
        <w:tc>
          <w:tcPr>
            <w:tcW w:w="4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44AB05C" w14:textId="77777777" w:rsidR="008A43FC" w:rsidRDefault="00DC51F6">
            <w:r>
              <w:rPr>
                <w:sz w:val="18"/>
              </w:rPr>
              <w:t xml:space="preserve">Where EMS or dispatch is not yet in place, a community responder system is not the first priority. Activation, responder density (the number of registered responders close enough to be alerted) and false alerts are the limits.</w:t>
            </w:r>
            <w:r w:rsidRPr="0044753D">
              <w:rPr>
                <w:sz w:val="18"/>
              </w:rPr>
              <w:t xml:space="preserve"/>
            </w:r>
            <w:r w:rsidRPr="0044753D">
              <w:rPr>
                <w:sz w:val="18"/>
              </w:rPr>
              <w:t xml:space="preserve"> Feasibility in low- and middle-income countries was not assessed in this review.</w:t>
            </w:r>
          </w:p>
        </w:tc>
      </w:tr>
    </w:tbl>
    <w:p w14:paraId="6AA9E196" w14:textId="77777777" w:rsidR="00D92784" w:rsidRPr="001E0F0C" w:rsidRDefault="00B909BD">
      <w:pPr>
        <w:pStyle w:val="Heading1"/>
        <w:keepNext/>
        <w:pageBreakBefore/>
        <w:spacing w:after="20" w:afterAutospacing="0"/>
        <w:divId w:val="548300923"/>
        <w:rPr>
          <w:rFonts w:asciiTheme="minorHAnsi" w:eastAsia="Times New Roman" w:hAnsiTheme="minorHAnsi" w:cstheme="minorHAnsi"/>
          <w:caps/>
          <w:color w:val="000000"/>
          <w:sz w:val="30"/>
          <w:szCs w:val="30"/>
          <w:lang w:val="en"/>
        </w:rPr>
      </w:pPr>
      <w:r>
        <w:rPr>
          <w:rFonts w:asciiTheme="minorHAnsi" w:eastAsia="Times New Roman" w:hAnsiTheme="minorHAnsi" w:cstheme="minorHAnsi"/>
          <w:caps/>
          <w:color w:val="000000"/>
          <w:sz w:val="30"/>
          <w:szCs w:val="30"/>
          <w:lang w:val="en"/>
        </w:rPr>
        <w:lastRenderedPageBreak/>
        <w:t>Summary of judgements</w:t>
      </w:r>
    </w:p>
    <w:p w14:paraId="12403048" w14:textId="77777777" w:rsidR="0053025C" w:rsidRDefault="00DC51F6">
      <w:pPr>
        <w:keepNext/>
        <w:spacing w:before="60" w:after="120"/>
      </w:pPr>
      <w:r>
        <w:rPr>
          <w:rFonts w:ascii="Calibri" w:hAnsi="Calibri"/>
          <w:i/>
          <w:sz w:val="18"/>
        </w:rPr>
        <w:t>All judgements are the review team's proposals for the Task Force. Shaded: proposed judgement.</w:t>
      </w:r>
    </w:p>
    <w:tbl>
      <w:tblPr>
        <w:tblW w:w="5000" w:type="pct"/>
        <w:tblCellMar>
          <w:top w:w="15" w:type="dxa"/>
          <w:left w:w="15" w:type="dxa"/>
          <w:bottom w:w="15" w:type="dxa"/>
          <w:right w:w="15" w:type="dxa"/>
        </w:tblCellMar>
        <w:tblLook w:val="04A0" w:firstRow="1" w:lastRow="0" w:firstColumn="1" w:lastColumn="0" w:noHBand="0" w:noVBand="1"/>
      </w:tblPr>
      <w:tblGrid>
        <w:gridCol w:w="2363"/>
        <w:gridCol w:w="1737"/>
        <w:gridCol w:w="1737"/>
        <w:gridCol w:w="1749"/>
        <w:gridCol w:w="1756"/>
        <w:gridCol w:w="1749"/>
        <w:gridCol w:w="1626"/>
        <w:gridCol w:w="1675"/>
      </w:tblGrid>
      <w:tr w:rsidR="00D92784" w:rsidRPr="001E0F0C" w14:paraId="56245E00" w14:textId="77777777">
        <w:trPr>
          <w:cantSplit/>
          <w:tblHeader/>
        </w:trPr>
        <w:tc>
          <w:tcPr>
            <w:tcW w:w="0" w:type="auto"/>
            <w:tcBorders>
              <w:top w:val="nil"/>
              <w:left w:val="nil"/>
              <w:bottom w:val="nil"/>
              <w:right w:val="nil"/>
            </w:tcBorders>
            <w:tcMar>
              <w:top w:w="75" w:type="dxa"/>
              <w:left w:w="75" w:type="dxa"/>
              <w:bottom w:w="75" w:type="dxa"/>
              <w:right w:w="75" w:type="dxa"/>
            </w:tcMar>
            <w:vAlign w:val="center"/>
            <w:hideMark/>
          </w:tcPr>
          <w:p w14:paraId="4388E624" w14:textId="77777777" w:rsidR="00D92784" w:rsidRPr="001E0F0C" w:rsidRDefault="00D92784">
            <w:pPr>
              <w:keepNext/>
              <w:rPr>
                <w:rFonts w:eastAsia="Times New Roman" w:cstheme="minorHAnsi"/>
                <w:caps/>
                <w:color w:val="000000"/>
                <w:sz w:val="30"/>
                <w:szCs w:val="30"/>
                <w:lang w:val="en"/>
              </w:rPr>
            </w:pP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5F1BE74" w14:textId="77777777" w:rsidR="00D92784" w:rsidRPr="001E0F0C" w:rsidRDefault="00B909BD">
            <w:pPr>
              <w:pStyle w:val="NormalWeb"/>
              <w:keepNext/>
              <w:spacing w:before="0" w:beforeAutospacing="0" w:after="0" w:afterAutospacing="0" w:line="260" w:lineRule="atLeast"/>
              <w:jc w:val="center"/>
              <w:rPr>
                <w:rFonts w:asciiTheme="minorHAnsi" w:hAnsiTheme="minorHAnsi" w:cstheme="minorHAnsi"/>
                <w:b/>
                <w:bCs/>
                <w:caps/>
                <w:color w:val="FFFFFF"/>
                <w:sz w:val="28"/>
                <w:szCs w:val="28"/>
              </w:rPr>
            </w:pPr>
            <w:r>
              <w:rPr>
                <w:rFonts w:asciiTheme="minorHAnsi" w:hAnsiTheme="minorHAnsi" w:cstheme="minorHAnsi"/>
                <w:b/>
                <w:bCs/>
                <w:caps/>
                <w:color w:val="FFFFFF"/>
                <w:sz w:val="28"/>
                <w:szCs w:val="28"/>
              </w:rPr>
              <w:t>Judgement</w:t>
            </w:r>
          </w:p>
        </w:tc>
      </w:tr>
      <w:tr w:rsidR="00D92784" w:rsidRPr="001E0F0C" w14:paraId="5D2264F8"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4C371B90" w14:textId="77777777" w:rsidR="00D92784" w:rsidRPr="001E0F0C" w:rsidRDefault="00B909BD">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Problem</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293CEC"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No</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13333A"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no</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A11DE7"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yes</w:t>
            </w:r>
          </w:p>
        </w:tc>
        <w:tc>
          <w:tcPr>
            <w:tcW w:w="1756"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1D04D4A0"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Yes</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5DD052" w14:textId="77777777" w:rsidR="00D92784" w:rsidRPr="001E0F0C" w:rsidRDefault="00D92784">
            <w:pPr>
              <w:keepNext/>
              <w:rPr>
                <w:rFonts w:cstheme="minorHAnsi"/>
                <w:b/>
                <w:bCs/>
                <w:color w:val="000000"/>
                <w:sz w:val="20"/>
                <w:szCs w:val="20"/>
              </w:rPr>
            </w:pP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0DC918"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Varies</w:t>
            </w: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E88425"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Don't know</w:t>
            </w:r>
          </w:p>
        </w:tc>
      </w:tr>
      <w:tr w:rsidR="00D92784" w:rsidRPr="001E0F0C" w14:paraId="534C2CCB"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B885CBB" w14:textId="77777777" w:rsidR="00D92784" w:rsidRPr="001E0F0C" w:rsidRDefault="00B909BD">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Desirable Effects</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5A3539"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Trivial</w:t>
            </w:r>
          </w:p>
        </w:tc>
        <w:tc>
          <w:tcPr>
            <w:tcW w:w="1737"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64B88387"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b/>
                <w:color w:val="000000"/>
                <w:sz w:val="20"/>
                <w:szCs w:val="20"/>
              </w:rPr>
              <w:t>Small</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9AB840"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Moderate</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9B196F"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Large</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2B9B48" w14:textId="77777777" w:rsidR="00D92784" w:rsidRPr="001E0F0C" w:rsidRDefault="00D92784">
            <w:pPr>
              <w:keepNext/>
              <w:rPr>
                <w:rFonts w:cstheme="minorHAnsi"/>
                <w:color w:val="AEAAAA"/>
                <w:sz w:val="20"/>
                <w:szCs w:val="20"/>
              </w:rPr>
            </w:pP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F0D878"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Varies</w:t>
            </w: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AD6017"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Cs/>
                <w:color w:val="AEAAAA"/>
                <w:sz w:val="20"/>
                <w:szCs w:val="20"/>
              </w:rPr>
              <w:t>Don't know</w:t>
            </w:r>
          </w:p>
        </w:tc>
      </w:tr>
      <w:tr w:rsidR="00D92784" w:rsidRPr="001E0F0C" w14:paraId="6111FCE4"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2C5F4ACE" w14:textId="77777777" w:rsidR="00D92784" w:rsidRPr="001E0F0C" w:rsidRDefault="00B909BD">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Undesirable Effects</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C57941"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Trivial</w:t>
            </w:r>
          </w:p>
        </w:tc>
        <w:tc>
          <w:tcPr>
            <w:tcW w:w="1737"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58C9AA33"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Small</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933C78"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Moderate</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83AE8B"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Large</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CBFA5D" w14:textId="77777777" w:rsidR="00D92784" w:rsidRPr="001E0F0C" w:rsidRDefault="00D92784">
            <w:pPr>
              <w:keepNext/>
              <w:rPr>
                <w:rFonts w:cstheme="minorHAnsi"/>
                <w:color w:val="AEAAAA"/>
                <w:sz w:val="20"/>
                <w:szCs w:val="20"/>
              </w:rPr>
            </w:pP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50A2E5"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Varies</w:t>
            </w: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85EE41"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Don't know</w:t>
            </w:r>
          </w:p>
        </w:tc>
      </w:tr>
      <w:tr w:rsidR="00D92784" w:rsidRPr="001E0F0C" w14:paraId="1E8E8429"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A1FA966" w14:textId="77777777" w:rsidR="00D92784" w:rsidRPr="001E0F0C" w:rsidRDefault="00B909BD">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Certainty of evidence</w:t>
            </w:r>
          </w:p>
        </w:tc>
        <w:tc>
          <w:tcPr>
            <w:tcW w:w="1737"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7BB2571D"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Very low</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C4E20F"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Low</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2109EE"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Moderate</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86B6F2"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High</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252054" w14:textId="77777777" w:rsidR="00D92784" w:rsidRPr="001E0F0C" w:rsidRDefault="00D92784">
            <w:pPr>
              <w:keepNext/>
              <w:rPr>
                <w:rFonts w:cstheme="minorHAnsi"/>
                <w:color w:val="AEAAAA"/>
                <w:sz w:val="20"/>
                <w:szCs w:val="20"/>
              </w:rPr>
            </w:pP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561C1E" w14:textId="77777777" w:rsidR="00D92784" w:rsidRPr="001E0F0C" w:rsidRDefault="00D92784">
            <w:pPr>
              <w:keepNext/>
              <w:spacing w:line="240" w:lineRule="atLeast"/>
              <w:jc w:val="center"/>
              <w:rPr>
                <w:rFonts w:eastAsia="Times New Roman" w:cstheme="minorHAnsi"/>
                <w:sz w:val="20"/>
                <w:szCs w:val="20"/>
              </w:rPr>
            </w:pP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81906C"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No included studies</w:t>
            </w:r>
          </w:p>
        </w:tc>
      </w:tr>
      <w:tr w:rsidR="00D92784" w:rsidRPr="001E0F0C" w14:paraId="4EAAA34C"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C70D536" w14:textId="77777777" w:rsidR="00D92784" w:rsidRPr="001E0F0C" w:rsidRDefault="00B909BD">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Values</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B05AEC"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Important uncertainty or variability</w:t>
            </w:r>
          </w:p>
        </w:tc>
        <w:tc>
          <w:tcPr>
            <w:tcW w:w="1737"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5B9CF590"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b/>
                <w:bCs/>
                <w:color w:val="000000"/>
                <w:sz w:val="20"/>
                <w:szCs w:val="20"/>
                <w:lang w:val="en-US"/>
              </w:rPr>
            </w:pPr>
            <w:r>
              <w:rPr>
                <w:rFonts w:asciiTheme="minorHAnsi" w:hAnsiTheme="minorHAnsi" w:cstheme="minorHAnsi"/>
                <w:b/>
                <w:bCs/>
                <w:color w:val="000000"/>
                <w:sz w:val="20"/>
                <w:szCs w:val="20"/>
                <w:lang w:val="en-US"/>
              </w:rPr>
              <w:t>Possibly important uncertainty or variability</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856975"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lang w:val="en-US"/>
              </w:rPr>
            </w:pPr>
            <w:r>
              <w:rPr>
                <w:rFonts w:asciiTheme="minorHAnsi" w:hAnsiTheme="minorHAnsi" w:cstheme="minorHAnsi"/>
                <w:color w:val="AEAAAA"/>
                <w:sz w:val="20"/>
                <w:szCs w:val="20"/>
                <w:lang w:val="en-US"/>
              </w:rPr>
              <w:t>Probably no important uncertainty or variability</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2B86AC"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lang w:val="en-US"/>
              </w:rPr>
            </w:pPr>
            <w:r>
              <w:rPr>
                <w:rFonts w:asciiTheme="minorHAnsi" w:hAnsiTheme="minorHAnsi" w:cstheme="minorHAnsi"/>
                <w:color w:val="AEAAAA"/>
                <w:sz w:val="20"/>
                <w:szCs w:val="20"/>
                <w:lang w:val="en-US"/>
              </w:rPr>
              <w:t>No important uncertainty or variability</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DA2DCF" w14:textId="77777777" w:rsidR="00D92784" w:rsidRPr="001E0F0C" w:rsidRDefault="00D92784">
            <w:pPr>
              <w:keepNext/>
              <w:rPr>
                <w:rFonts w:cstheme="minorHAnsi"/>
                <w:color w:val="AEAAAA"/>
                <w:sz w:val="20"/>
                <w:szCs w:val="20"/>
                <w:lang w:val="en-US"/>
              </w:rPr>
            </w:pP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1C0FF3" w14:textId="77777777" w:rsidR="00D92784" w:rsidRPr="001E0F0C" w:rsidRDefault="00D92784">
            <w:pPr>
              <w:keepNext/>
              <w:spacing w:line="240" w:lineRule="atLeast"/>
              <w:jc w:val="center"/>
              <w:rPr>
                <w:rFonts w:eastAsia="Times New Roman" w:cstheme="minorHAnsi"/>
                <w:sz w:val="20"/>
                <w:szCs w:val="20"/>
                <w:lang w:val="en-US"/>
              </w:rPr>
            </w:pP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9CCE7E" w14:textId="77777777" w:rsidR="00D92784" w:rsidRPr="001E0F0C" w:rsidRDefault="00D92784">
            <w:pPr>
              <w:keepNext/>
              <w:spacing w:line="240" w:lineRule="atLeast"/>
              <w:jc w:val="center"/>
              <w:rPr>
                <w:rFonts w:eastAsia="Times New Roman" w:cstheme="minorHAnsi"/>
                <w:sz w:val="20"/>
                <w:szCs w:val="20"/>
                <w:lang w:val="en-US"/>
              </w:rPr>
            </w:pPr>
          </w:p>
        </w:tc>
      </w:tr>
      <w:tr w:rsidR="00D92784" w:rsidRPr="001E0F0C" w14:paraId="2B9E62D0"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3476731" w14:textId="77777777" w:rsidR="00D92784" w:rsidRPr="001E0F0C" w:rsidRDefault="00B909BD">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Balance of effects</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4E6857"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Favors the comparison</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05AB86"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favors the comparison</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91FCF5"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lang w:val="en-US"/>
              </w:rPr>
            </w:pPr>
            <w:r>
              <w:rPr>
                <w:rFonts w:asciiTheme="minorHAnsi" w:hAnsiTheme="minorHAnsi" w:cstheme="minorHAnsi"/>
                <w:color w:val="AEAAAA"/>
                <w:sz w:val="20"/>
                <w:szCs w:val="20"/>
                <w:lang w:val="en-US"/>
              </w:rPr>
              <w:t>Does not favor either the intervention or the comparison</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A23593"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favors the intervention</w:t>
            </w:r>
          </w:p>
        </w:tc>
        <w:tc>
          <w:tcPr>
            <w:tcW w:w="1749"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68EDF176"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b/>
                <w:color w:val="000000"/>
                <w:sz w:val="20"/>
                <w:szCs w:val="20"/>
              </w:rPr>
              <w:t>Favors the intervention</w:t>
            </w: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552A64"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Varies</w:t>
            </w: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47EEBB" w14:textId="77777777" w:rsidR="00D92784" w:rsidRPr="001E0F0C" w:rsidRDefault="00B909BD">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Cs/>
                <w:color w:val="AEAAAA"/>
                <w:sz w:val="20"/>
                <w:szCs w:val="20"/>
              </w:rPr>
              <w:t>Don't know</w:t>
            </w:r>
          </w:p>
        </w:tc>
      </w:tr>
      <w:tr w:rsidR="00B02D58" w:rsidRPr="001E0F0C" w14:paraId="71D7813B"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6418819" w14:textId="77777777" w:rsidR="00B02D58" w:rsidRPr="001E0F0C" w:rsidRDefault="00B02D58" w:rsidP="00B02D58">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Resources required</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0F0C4F"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Large costs</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581BD4"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Moderate costs</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30416D"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Negligible costs and savings</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4AA8EC"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Moderate savings</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3F33AA"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Large savings</w:t>
            </w:r>
          </w:p>
        </w:tc>
        <w:tc>
          <w:tcPr>
            <w:tcW w:w="1626"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6EADB0A2"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Varies</w:t>
            </w: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5E39AE"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Don't know</w:t>
            </w:r>
          </w:p>
        </w:tc>
      </w:tr>
      <w:tr w:rsidR="00B02D58" w:rsidRPr="001E0F0C" w14:paraId="5640653A"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3859709" w14:textId="77777777" w:rsidR="00B02D58" w:rsidRPr="001E0F0C" w:rsidRDefault="00B02D58" w:rsidP="00B02D58">
            <w:pPr>
              <w:pStyle w:val="NormalWeb"/>
              <w:keepNext/>
              <w:spacing w:before="0" w:beforeAutospacing="0" w:after="0" w:afterAutospacing="0" w:line="260" w:lineRule="atLeast"/>
              <w:jc w:val="center"/>
              <w:rPr>
                <w:rFonts w:asciiTheme="minorHAnsi" w:hAnsiTheme="minorHAnsi" w:cstheme="minorHAnsi"/>
                <w:b/>
                <w:bCs/>
                <w:caps/>
                <w:color w:val="FFFFFF"/>
                <w:sz w:val="20"/>
                <w:szCs w:val="20"/>
                <w:lang w:val="en-US"/>
              </w:rPr>
            </w:pPr>
            <w:r>
              <w:rPr>
                <w:rFonts w:asciiTheme="minorHAnsi" w:hAnsiTheme="minorHAnsi" w:cstheme="minorHAnsi"/>
                <w:b/>
                <w:bCs/>
                <w:caps/>
                <w:color w:val="FFFFFF"/>
                <w:sz w:val="20"/>
                <w:szCs w:val="20"/>
                <w:lang w:val="en-US"/>
              </w:rPr>
              <w:t>Certainty of evidence of required resources</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0035F8"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Very low</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23551F"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Low</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853A8F"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Moderate</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2477E9"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High</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18F823" w14:textId="77777777" w:rsidR="00B02D58" w:rsidRPr="001E0F0C" w:rsidRDefault="00B02D58" w:rsidP="00B02D58">
            <w:pPr>
              <w:keepNext/>
              <w:rPr>
                <w:rFonts w:cstheme="minorHAnsi"/>
                <w:color w:val="AEAAAA"/>
                <w:sz w:val="20"/>
                <w:szCs w:val="20"/>
              </w:rPr>
            </w:pP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F45664" w14:textId="77777777" w:rsidR="00B02D58" w:rsidRPr="001E0F0C" w:rsidRDefault="00B02D58" w:rsidP="00B02D58">
            <w:pPr>
              <w:keepNext/>
              <w:spacing w:line="240" w:lineRule="atLeast"/>
              <w:jc w:val="center"/>
              <w:rPr>
                <w:rFonts w:eastAsia="Times New Roman" w:cstheme="minorHAnsi"/>
                <w:sz w:val="20"/>
                <w:szCs w:val="20"/>
              </w:rPr>
            </w:pPr>
          </w:p>
        </w:tc>
        <w:tc>
          <w:tcPr>
            <w:tcW w:w="1675"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68A327F2"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No included studies</w:t>
            </w:r>
          </w:p>
        </w:tc>
      </w:tr>
      <w:tr w:rsidR="00B02D58" w:rsidRPr="001E0F0C" w14:paraId="5617B7B9"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F7834A3" w14:textId="77777777" w:rsidR="00B02D58" w:rsidRPr="001E0F0C" w:rsidRDefault="00B02D58" w:rsidP="00B02D58">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Cost effectiveness</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8857DC"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Favors the comparison</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9F7C7F"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favors the comparison</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77EB5A"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lang w:val="en-US"/>
              </w:rPr>
            </w:pPr>
            <w:r>
              <w:rPr>
                <w:rFonts w:asciiTheme="minorHAnsi" w:hAnsiTheme="minorHAnsi" w:cstheme="minorHAnsi"/>
                <w:color w:val="AEAAAA"/>
                <w:sz w:val="20"/>
                <w:szCs w:val="20"/>
                <w:lang w:val="en-US"/>
              </w:rPr>
              <w:t>Does not favor either the intervention or the comparison</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8CC605"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favors the intervention</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957DFE"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Favors the intervention</w:t>
            </w: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0F3A62"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Varies</w:t>
            </w:r>
          </w:p>
        </w:tc>
        <w:tc>
          <w:tcPr>
            <w:tcW w:w="1675"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063FBBE3"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No included studies</w:t>
            </w:r>
          </w:p>
        </w:tc>
      </w:tr>
      <w:tr w:rsidR="00B02D58" w:rsidRPr="001E0F0C" w14:paraId="1B7E44BD"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66F02040" w14:textId="77777777" w:rsidR="00B02D58" w:rsidRPr="001E0F0C" w:rsidRDefault="00B02D58" w:rsidP="00B02D58">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Equity</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12349B"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Reduced</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78F3BA"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reduced</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2B031C"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no impact</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230928"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increased</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234861"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Increased</w:t>
            </w:r>
          </w:p>
        </w:tc>
        <w:tc>
          <w:tcPr>
            <w:tcW w:w="1626"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759C8D06"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b/>
                <w:color w:val="000000"/>
                <w:sz w:val="20"/>
                <w:szCs w:val="20"/>
              </w:rPr>
              <w:t>Varies</w:t>
            </w: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DB0C94"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Cs/>
                <w:color w:val="AEAAAA"/>
                <w:sz w:val="20"/>
                <w:szCs w:val="20"/>
              </w:rPr>
              <w:t>Don't know</w:t>
            </w:r>
          </w:p>
        </w:tc>
      </w:tr>
      <w:tr w:rsidR="00B02D58" w:rsidRPr="001E0F0C" w14:paraId="6F24EB90"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61FB843" w14:textId="77777777" w:rsidR="00B02D58" w:rsidRPr="001E0F0C" w:rsidRDefault="00B02D58" w:rsidP="00B02D58">
            <w:pPr>
              <w:pStyle w:val="NormalWeb"/>
              <w:keepNext/>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Acceptability</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ECC59F"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No</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663217"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no</w:t>
            </w:r>
          </w:p>
        </w:tc>
        <w:tc>
          <w:tcPr>
            <w:tcW w:w="1749"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0A9C6138"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Probably yes</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4A520C"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Yes</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3A72BF" w14:textId="77777777" w:rsidR="00B02D58" w:rsidRPr="001E0F0C" w:rsidRDefault="00B02D58" w:rsidP="00B02D58">
            <w:pPr>
              <w:keepNext/>
              <w:rPr>
                <w:rFonts w:cstheme="minorHAnsi"/>
                <w:color w:val="AEAAAA"/>
                <w:sz w:val="20"/>
                <w:szCs w:val="20"/>
              </w:rPr>
            </w:pP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50E1CD"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Varies</w:t>
            </w: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F35C34" w14:textId="77777777" w:rsidR="00B02D58" w:rsidRPr="001E0F0C" w:rsidRDefault="00B02D58" w:rsidP="00B02D58">
            <w:pPr>
              <w:pStyle w:val="NormalWeb"/>
              <w:keepNext/>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Don't know</w:t>
            </w:r>
          </w:p>
        </w:tc>
      </w:tr>
      <w:tr w:rsidR="00B02D58" w:rsidRPr="001E0F0C" w14:paraId="1454C923" w14:textId="77777777" w:rsidTr="00B02D58">
        <w:trPr>
          <w:cantSplit/>
        </w:trPr>
        <w:tc>
          <w:tcPr>
            <w:tcW w:w="2363"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66DE7C0" w14:textId="77777777" w:rsidR="00B02D58" w:rsidRPr="001E0F0C" w:rsidRDefault="00B02D58" w:rsidP="00B02D58">
            <w:pPr>
              <w:pStyle w:val="NormalWeb"/>
              <w:spacing w:before="0" w:beforeAutospacing="0" w:after="0" w:afterAutospacing="0" w:line="260" w:lineRule="atLeast"/>
              <w:jc w:val="center"/>
              <w:rPr>
                <w:rFonts w:asciiTheme="minorHAnsi" w:hAnsiTheme="minorHAnsi" w:cstheme="minorHAnsi"/>
                <w:b/>
                <w:bCs/>
                <w:caps/>
                <w:color w:val="FFFFFF"/>
                <w:sz w:val="20"/>
                <w:szCs w:val="20"/>
              </w:rPr>
            </w:pPr>
            <w:r>
              <w:rPr>
                <w:rFonts w:asciiTheme="minorHAnsi" w:hAnsiTheme="minorHAnsi" w:cstheme="minorHAnsi"/>
                <w:b/>
                <w:bCs/>
                <w:caps/>
                <w:color w:val="FFFFFF"/>
                <w:sz w:val="20"/>
                <w:szCs w:val="20"/>
              </w:rPr>
              <w:t>Feasibility</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6094ED" w14:textId="77777777" w:rsidR="00B02D58" w:rsidRPr="001E0F0C" w:rsidRDefault="00B02D58" w:rsidP="00B02D58">
            <w:pPr>
              <w:pStyle w:val="NormalWeb"/>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No</w:t>
            </w:r>
          </w:p>
        </w:tc>
        <w:tc>
          <w:tcPr>
            <w:tcW w:w="17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3E42C2" w14:textId="77777777" w:rsidR="00B02D58" w:rsidRPr="001E0F0C" w:rsidRDefault="00B02D58" w:rsidP="00B02D58">
            <w:pPr>
              <w:pStyle w:val="NormalWeb"/>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Probably no</w:t>
            </w:r>
          </w:p>
        </w:tc>
        <w:tc>
          <w:tcPr>
            <w:tcW w:w="1749" w:type="dxa"/>
            <w:tcBorders>
              <w:top w:val="single" w:sz="6" w:space="0" w:color="000000"/>
              <w:left w:val="single" w:sz="6" w:space="0" w:color="000000"/>
              <w:bottom w:val="single" w:sz="6" w:space="0" w:color="000000"/>
              <w:right w:val="single" w:sz="6" w:space="0" w:color="000000"/>
            </w:tcBorders>
            <w:shd w:val="clear" w:color="auto" w:fill="D9E2F3"/>
            <w:tcMar>
              <w:top w:w="75" w:type="dxa"/>
              <w:left w:w="75" w:type="dxa"/>
              <w:bottom w:w="75" w:type="dxa"/>
              <w:right w:w="75" w:type="dxa"/>
            </w:tcMar>
            <w:vAlign w:val="center"/>
            <w:hideMark/>
          </w:tcPr>
          <w:p w14:paraId="6C93CD4A" w14:textId="77777777" w:rsidR="00B02D58" w:rsidRPr="001E0F0C" w:rsidRDefault="00B02D58" w:rsidP="00B02D58">
            <w:pPr>
              <w:pStyle w:val="NormalWeb"/>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b/>
                <w:color w:val="000000"/>
                <w:sz w:val="20"/>
                <w:szCs w:val="20"/>
              </w:rPr>
              <w:t>Probably yes</w:t>
            </w:r>
          </w:p>
        </w:tc>
        <w:tc>
          <w:tcPr>
            <w:tcW w:w="17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376E4A" w14:textId="77777777" w:rsidR="00B02D58" w:rsidRPr="001E0F0C" w:rsidRDefault="00B02D58" w:rsidP="00B02D58">
            <w:pPr>
              <w:pStyle w:val="NormalWeb"/>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Yes</w:t>
            </w:r>
          </w:p>
        </w:tc>
        <w:tc>
          <w:tcPr>
            <w:tcW w:w="17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8F07FD" w14:textId="77777777" w:rsidR="00B02D58" w:rsidRPr="001E0F0C" w:rsidRDefault="00B02D58" w:rsidP="00B02D58">
            <w:pPr>
              <w:rPr>
                <w:rFonts w:cstheme="minorHAnsi"/>
                <w:color w:val="AEAAAA"/>
                <w:sz w:val="20"/>
                <w:szCs w:val="20"/>
              </w:rPr>
            </w:pPr>
          </w:p>
        </w:tc>
        <w:tc>
          <w:tcPr>
            <w:tcW w:w="16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325F88" w14:textId="77777777" w:rsidR="00B02D58" w:rsidRPr="001E0F0C" w:rsidRDefault="00B02D58" w:rsidP="00B02D58">
            <w:pPr>
              <w:pStyle w:val="NormalWeb"/>
              <w:spacing w:before="0" w:beforeAutospacing="0" w:after="0" w:afterAutospacing="0" w:line="240" w:lineRule="atLeast"/>
              <w:jc w:val="center"/>
              <w:rPr>
                <w:rFonts w:asciiTheme="minorHAnsi" w:hAnsiTheme="minorHAnsi" w:cstheme="minorHAnsi"/>
                <w:b/>
                <w:bCs/>
                <w:color w:val="000000"/>
                <w:sz w:val="20"/>
                <w:szCs w:val="20"/>
              </w:rPr>
            </w:pPr>
            <w:r>
              <w:rPr>
                <w:rFonts w:asciiTheme="minorHAnsi" w:hAnsiTheme="minorHAnsi" w:cstheme="minorHAnsi"/>
                <w:bCs/>
                <w:color w:val="AEAAAA"/>
                <w:sz w:val="20"/>
                <w:szCs w:val="20"/>
              </w:rPr>
              <w:t>Varies</w:t>
            </w:r>
          </w:p>
        </w:tc>
        <w:tc>
          <w:tcPr>
            <w:tcW w:w="1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87D074" w14:textId="77777777" w:rsidR="00B02D58" w:rsidRPr="001E0F0C" w:rsidRDefault="00B02D58" w:rsidP="00B02D58">
            <w:pPr>
              <w:pStyle w:val="NormalWeb"/>
              <w:spacing w:before="0" w:beforeAutospacing="0" w:after="0" w:afterAutospacing="0" w:line="240" w:lineRule="atLeast"/>
              <w:jc w:val="center"/>
              <w:rPr>
                <w:rFonts w:asciiTheme="minorHAnsi" w:hAnsiTheme="minorHAnsi" w:cstheme="minorHAnsi"/>
                <w:color w:val="AEAAAA"/>
                <w:sz w:val="20"/>
                <w:szCs w:val="20"/>
              </w:rPr>
            </w:pPr>
            <w:r>
              <w:rPr>
                <w:rFonts w:asciiTheme="minorHAnsi" w:hAnsiTheme="minorHAnsi" w:cstheme="minorHAnsi"/>
                <w:color w:val="AEAAAA"/>
                <w:sz w:val="20"/>
                <w:szCs w:val="20"/>
              </w:rPr>
              <w:t>Don't know</w:t>
            </w:r>
          </w:p>
        </w:tc>
      </w:tr>
    </w:tbl>
    <w:p w14:paraId="13B4F2C6" w14:textId="77777777" w:rsidR="00D92784" w:rsidRPr="001E0F0C" w:rsidRDefault="00D92784">
      <w:pPr>
        <w:divId w:val="50546937"/>
        <w:rPr>
          <w:rFonts w:eastAsia="Times New Roman" w:cstheme="minorHAnsi"/>
          <w:color w:val="000000"/>
          <w:sz w:val="16"/>
          <w:szCs w:val="16"/>
          <w:lang w:val="en"/>
        </w:rPr>
      </w:pPr>
    </w:p>
    <w:p w14:paraId="1FD24C1B" w14:textId="77777777" w:rsidR="000B49E6" w:rsidRDefault="000B49E6" w:rsidP="00E8083A">
      <w:pPr>
        <w:pStyle w:val="Heading1"/>
        <w:spacing w:before="0" w:beforeAutospacing="0" w:after="0" w:afterAutospacing="0"/>
        <w:rPr>
          <w:rFonts w:asciiTheme="minorHAnsi" w:eastAsia="Times New Roman" w:hAnsiTheme="minorHAnsi" w:cstheme="minorHAnsi"/>
          <w:caps/>
          <w:color w:val="000000"/>
          <w:sz w:val="30"/>
          <w:szCs w:val="30"/>
          <w:lang w:val="en" w:eastAsia="zh-TW"/>
        </w:rPr>
      </w:pPr>
    </w:p>
    <w:p w14:paraId="61BE67CC" w14:textId="77777777" w:rsidR="00D92784" w:rsidRPr="001E0F0C" w:rsidRDefault="00B909BD" w:rsidP="00E8083A">
      <w:pPr>
        <w:pStyle w:val="Heading1"/>
        <w:keepNext/>
        <w:spacing w:before="0" w:beforeAutospacing="0" w:after="0" w:afterAutospacing="0"/>
        <w:rPr>
          <w:rFonts w:asciiTheme="minorHAnsi" w:eastAsia="Times New Roman" w:hAnsiTheme="minorHAnsi" w:cstheme="minorHAnsi"/>
          <w:caps/>
          <w:color w:val="000000"/>
          <w:sz w:val="30"/>
          <w:szCs w:val="30"/>
          <w:lang w:val="en"/>
        </w:rPr>
      </w:pPr>
      <w:bookmarkStart w:id="2" w:name="_Hlk239249387"/>
      <w:r>
        <w:rPr>
          <w:rFonts w:asciiTheme="minorHAnsi" w:eastAsia="Times New Roman" w:hAnsiTheme="minorHAnsi" w:cstheme="minorHAnsi"/>
          <w:caps/>
          <w:color w:val="000000"/>
          <w:sz w:val="30"/>
          <w:szCs w:val="30"/>
          <w:lang w:val="en"/>
        </w:rPr>
        <w:lastRenderedPageBreak/>
        <w:t>Type of recommendation</w:t>
      </w:r>
    </w:p>
    <w:tbl>
      <w:tblPr>
        <w:tblW w:w="5007" w:type="pct"/>
        <w:tblCellMar>
          <w:top w:w="15" w:type="dxa"/>
          <w:left w:w="15" w:type="dxa"/>
          <w:bottom w:w="15" w:type="dxa"/>
          <w:right w:w="15" w:type="dxa"/>
        </w:tblCellMar>
        <w:tblLook w:val="04A0" w:firstRow="1" w:lastRow="0" w:firstColumn="1" w:lastColumn="0" w:noHBand="0" w:noVBand="1"/>
      </w:tblPr>
      <w:tblGrid>
        <w:gridCol w:w="2880"/>
        <w:gridCol w:w="2881"/>
        <w:gridCol w:w="2881"/>
        <w:gridCol w:w="2881"/>
        <w:gridCol w:w="2881"/>
      </w:tblGrid>
      <w:tr w:rsidR="00D92784" w:rsidRPr="001E0F0C" w14:paraId="450B9C2B" w14:textId="77777777" w:rsidTr="00327F28">
        <w:trPr>
          <w:cantSplit/>
          <w:trHeight w:val="77"/>
          <w:tblHeader/>
        </w:trPr>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60A0DB98" w14:textId="77777777" w:rsidR="00D92784" w:rsidRPr="001E0F0C" w:rsidRDefault="00B909BD" w:rsidP="00E8083A">
            <w:pPr>
              <w:pStyle w:val="NormalWeb"/>
              <w:keepNext/>
              <w:spacing w:before="0" w:beforeAutospacing="0" w:after="0" w:afterAutospacing="0"/>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Strong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161531EF" w14:textId="77777777" w:rsidR="00D92784" w:rsidRPr="001E0F0C" w:rsidRDefault="00B909BD" w:rsidP="00E8083A">
            <w:pPr>
              <w:pStyle w:val="NormalWeb"/>
              <w:keepNext/>
              <w:spacing w:before="0" w:beforeAutospacing="0" w:after="0" w:afterAutospacing="0"/>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Conditional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46295DE3" w14:textId="77777777" w:rsidR="00D92784" w:rsidRPr="001E0F0C" w:rsidRDefault="00B909BD" w:rsidP="00E8083A">
            <w:pPr>
              <w:pStyle w:val="NormalWeb"/>
              <w:keepNext/>
              <w:spacing w:before="0" w:beforeAutospacing="0" w:after="0" w:afterAutospacing="0"/>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Conditional recommendation for either the intervention or the comparison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3C03B2EB" w14:textId="77777777" w:rsidR="00327F28" w:rsidRPr="001E0F0C" w:rsidRDefault="00B909BD" w:rsidP="00327F28">
            <w:pPr>
              <w:pStyle w:val="NormalWeb"/>
              <w:keepNext/>
              <w:spacing w:before="0" w:beforeAutospacing="0" w:after="0" w:afterAutospacing="0"/>
              <w:jc w:val="center"/>
              <w:rPr>
                <w:rFonts w:asciiTheme="minorHAnsi" w:hAnsiTheme="minorHAnsi" w:cstheme="minorHAnsi"/>
                <w:color w:val="000000" w:themeColor="text1"/>
                <w:sz w:val="16"/>
                <w:szCs w:val="16"/>
                <w:lang w:val="en-US"/>
              </w:rPr>
            </w:pPr>
            <w:r>
              <w:rPr>
                <w:rFonts w:asciiTheme="minorHAnsi" w:hAnsiTheme="minorHAnsi" w:cstheme="minorHAnsi"/>
                <w:color w:val="000000" w:themeColor="text1"/>
                <w:sz w:val="16"/>
                <w:szCs w:val="16"/>
                <w:lang w:val="en-US"/>
              </w:rPr>
              <w:t>Conditional recommendation for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74F3B8F6" w14:textId="77777777" w:rsidR="00D92784" w:rsidRPr="001E0F0C" w:rsidRDefault="00B909BD" w:rsidP="00E8083A">
            <w:pPr>
              <w:pStyle w:val="NormalWeb"/>
              <w:keepNext/>
              <w:spacing w:before="0" w:beforeAutospacing="0" w:after="0" w:afterAutospacing="0"/>
              <w:jc w:val="center"/>
              <w:rPr>
                <w:rFonts w:asciiTheme="minorHAnsi" w:hAnsiTheme="minorHAnsi" w:cstheme="minorHAnsi"/>
                <w:color w:val="000000"/>
                <w:sz w:val="16"/>
                <w:szCs w:val="16"/>
                <w:lang w:val="en-US"/>
              </w:rPr>
            </w:pPr>
            <w:r>
              <w:rPr>
                <w:rFonts w:asciiTheme="minorHAnsi" w:hAnsiTheme="minorHAnsi" w:cstheme="minorHAnsi"/>
                <w:color w:val="000000"/>
                <w:sz w:val="16"/>
                <w:szCs w:val="16"/>
                <w:lang w:val="en-US"/>
              </w:rPr>
              <w:t>Strong recommendation for the intervention</w:t>
            </w:r>
          </w:p>
        </w:tc>
      </w:tr>
      <w:tr w:rsidR="00D92784" w:rsidRPr="001E0F0C" w14:paraId="0C2738E8" w14:textId="77777777" w:rsidTr="00327F28">
        <w:trPr>
          <w:cantSplit/>
          <w:trHeight w:val="133"/>
        </w:trPr>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6972FF8D" w14:textId="77777777" w:rsidR="008A43FC" w:rsidRDefault="00DC51F6">
            <w:pPr>
              <w:jc w:val="center"/>
            </w:pPr>
            <w:r>
              <w:rPr>
                <w:sz w:val="18"/>
              </w:rPr>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7BC2AD92" w14:textId="77777777" w:rsidR="008A43FC" w:rsidRDefault="00DC51F6">
            <w:pPr>
              <w:jc w:val="center"/>
            </w:pPr>
            <w:r>
              <w:rPr>
                <w:sz w:val="18"/>
              </w:rPr>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7689A2B6" w14:textId="77777777" w:rsidR="008A43FC" w:rsidRDefault="00DC51F6">
            <w:pPr>
              <w:jc w:val="center"/>
            </w:pPr>
            <w:r>
              <w:rPr>
                <w:sz w:val="18"/>
              </w:rPr>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193416E2" w14:textId="77777777" w:rsidR="008A43FC" w:rsidRDefault="00DC51F6">
            <w:pPr>
              <w:jc w:val="center"/>
            </w:pPr>
            <w:r>
              <w:rPr>
                <w:sz w:val="18"/>
              </w:rPr>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7E5E8BD4" w14:textId="77777777" w:rsidR="008A43FC" w:rsidRDefault="00DC51F6">
            <w:pPr>
              <w:jc w:val="center"/>
            </w:pPr>
            <w:r>
              <w:rPr>
                <w:sz w:val="18"/>
              </w:rPr>
              <w:t>●</w:t>
            </w:r>
          </w:p>
        </w:tc>
      </w:tr>
      <w:bookmarkEnd w:id="2"/>
    </w:tbl>
    <w:p w14:paraId="57BEDD8B" w14:textId="77777777" w:rsidR="00D92784" w:rsidRPr="001E0F0C" w:rsidRDefault="00D92784" w:rsidP="00E8083A">
      <w:pPr>
        <w:divId w:val="50546937"/>
        <w:rPr>
          <w:rFonts w:eastAsia="Times New Roman" w:cstheme="minorHAnsi"/>
          <w:color w:val="000000"/>
          <w:sz w:val="16"/>
          <w:szCs w:val="16"/>
          <w:lang w:val="en"/>
        </w:rPr>
      </w:pPr>
    </w:p>
    <w:p w14:paraId="5045FF5A" w14:textId="77777777" w:rsidR="00327F28" w:rsidRPr="001E0F0C" w:rsidRDefault="00327F28" w:rsidP="00E8083A">
      <w:pPr>
        <w:pStyle w:val="Heading1"/>
        <w:spacing w:before="0" w:beforeAutospacing="0" w:after="20" w:afterAutospacing="0"/>
        <w:rPr>
          <w:rFonts w:asciiTheme="minorHAnsi" w:eastAsia="Times New Roman" w:hAnsiTheme="minorHAnsi" w:cstheme="minorHAnsi"/>
          <w:caps/>
          <w:color w:val="000000"/>
          <w:sz w:val="30"/>
          <w:szCs w:val="30"/>
          <w:lang w:val="en"/>
        </w:rPr>
      </w:pPr>
    </w:p>
    <w:p w14:paraId="28620214" w14:textId="77777777" w:rsidR="00327F28" w:rsidRPr="001E0F0C" w:rsidRDefault="00327F28" w:rsidP="00E8083A">
      <w:pPr>
        <w:pStyle w:val="Heading1"/>
        <w:spacing w:before="0" w:beforeAutospacing="0" w:after="20" w:afterAutospacing="0"/>
        <w:rPr>
          <w:rFonts w:asciiTheme="minorHAnsi" w:eastAsia="Times New Roman" w:hAnsiTheme="minorHAnsi" w:cstheme="minorHAnsi"/>
          <w:caps/>
          <w:color w:val="000000"/>
          <w:sz w:val="30"/>
          <w:szCs w:val="30"/>
          <w:lang w:val="en"/>
        </w:rPr>
      </w:pPr>
    </w:p>
    <w:p w14:paraId="52F67FB3" w14:textId="77777777" w:rsidR="00D92784" w:rsidRPr="001E0F0C" w:rsidRDefault="00B909BD" w:rsidP="00E8083A">
      <w:pPr>
        <w:pStyle w:val="Heading1"/>
        <w:keepNext/>
        <w:spacing w:before="0" w:beforeAutospacing="0" w:after="20" w:afterAutospacing="0"/>
        <w:rPr>
          <w:rFonts w:asciiTheme="minorHAnsi" w:eastAsia="Times New Roman" w:hAnsiTheme="minorHAnsi" w:cstheme="minorHAnsi"/>
          <w:caps/>
          <w:color w:val="000000"/>
          <w:sz w:val="30"/>
          <w:szCs w:val="30"/>
          <w:lang w:val="en"/>
        </w:rPr>
      </w:pPr>
      <w:r>
        <w:rPr>
          <w:rFonts w:asciiTheme="minorHAnsi" w:eastAsia="Times New Roman" w:hAnsiTheme="minorHAnsi" w:cstheme="minorHAnsi"/>
          <w:caps/>
          <w:color w:val="000000"/>
          <w:sz w:val="30"/>
          <w:szCs w:val="30"/>
          <w:lang w:val="en"/>
        </w:rPr>
        <w:t>Conclusions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00"/>
      </w:tblGrid>
      <w:tr w:rsidR="00D92784" w:rsidRPr="001E0F0C" w14:paraId="3AF0DA64" w14:textId="77777777">
        <w:trPr>
          <w:divId w:val="1900557851"/>
          <w:cantSplit/>
        </w:trPr>
        <w:tc>
          <w:tcPr>
            <w:tcW w:w="0" w:type="auto"/>
            <w:shd w:val="clear" w:color="auto" w:fill="2E74B5"/>
            <w:tcMar>
              <w:top w:w="75" w:type="dxa"/>
              <w:left w:w="75" w:type="dxa"/>
              <w:bottom w:w="75" w:type="dxa"/>
              <w:right w:w="75" w:type="dxa"/>
            </w:tcMar>
            <w:hideMark/>
          </w:tcPr>
          <w:p w14:paraId="558DC5FA"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olor w:val="FFFFFF"/>
                <w:sz w:val="20"/>
                <w:szCs w:val="20"/>
              </w:rPr>
            </w:pPr>
            <w:r>
              <w:rPr>
                <w:rFonts w:asciiTheme="minorHAnsi" w:eastAsia="Times New Roman" w:hAnsiTheme="minorHAnsi" w:cstheme="minorHAnsi"/>
                <w:color w:val="FFFFFF"/>
                <w:sz w:val="20"/>
                <w:szCs w:val="20"/>
              </w:rPr>
              <w:t>Recommendation</w:t>
            </w:r>
          </w:p>
        </w:tc>
      </w:tr>
      <w:tr w:rsidR="00D92784" w:rsidRPr="001E0F0C" w14:paraId="54F8602C" w14:textId="77777777" w:rsidTr="0044753D">
        <w:trPr>
          <w:divId w:val="1900557851"/>
          <w:cantSplit/>
          <w:trHeight w:val="23"/>
        </w:trPr>
        <w:tc>
          <w:tcPr>
            <w:tcW w:w="0" w:type="auto"/>
            <w:tcMar>
              <w:top w:w="75" w:type="dxa"/>
              <w:left w:w="75" w:type="dxa"/>
              <w:bottom w:w="75" w:type="dxa"/>
              <w:right w:w="75" w:type="dxa"/>
            </w:tcMar>
            <w:hideMark/>
          </w:tcPr>
          <w:p w14:paraId="44F70E9C" w14:textId="77777777" w:rsidR="008A43FC" w:rsidRDefault="00DC51F6">
            <w:proofErr w:type="spellStart"/>
            <w:r>
              <w:rPr>
                <w:b/>
                <w:sz w:val="18"/>
              </w:rPr>
              <w:t>We</w:t>
            </w:r>
            <w:proofErr w:type="spellEnd"/>
            <w:r>
              <w:rPr>
                <w:b/>
                <w:sz w:val="18"/>
              </w:rPr>
              <w:t xml:space="preserve"> </w:t>
            </w:r>
            <w:proofErr w:type="spellStart"/>
            <w:r>
              <w:rPr>
                <w:b/>
                <w:sz w:val="18"/>
              </w:rPr>
              <w:t>recommend</w:t>
            </w:r>
            <w:proofErr w:type="spellEnd"/>
            <w:r>
              <w:rPr>
                <w:b/>
                <w:sz w:val="18"/>
              </w:rPr>
              <w:t xml:space="preserve"> the use of mobile technology linked to emergency dispatch to notify nearby willing responders of a suspected out-of-hospital cardiac arrest (strong </w:t>
            </w:r>
            <w:proofErr w:type="spellStart"/>
            <w:r>
              <w:rPr>
                <w:b/>
                <w:sz w:val="18"/>
              </w:rPr>
              <w:t>recommendation</w:t>
            </w:r>
            <w:proofErr w:type="spellEnd"/>
            <w:r>
              <w:rPr>
                <w:b/>
                <w:sz w:val="18"/>
              </w:rPr>
              <w:t xml:space="preserve">, </w:t>
            </w:r>
            <w:proofErr w:type="spellStart"/>
            <w:r>
              <w:rPr>
                <w:b/>
                <w:sz w:val="18"/>
              </w:rPr>
              <w:t>very</w:t>
            </w:r>
            <w:proofErr w:type="spellEnd"/>
            <w:r>
              <w:rPr>
                <w:b/>
                <w:sz w:val="18"/>
              </w:rPr>
              <w:t xml:space="preserve"> low-</w:t>
            </w:r>
            <w:proofErr w:type="spellStart"/>
            <w:r>
              <w:rPr>
                <w:b/>
                <w:sz w:val="18"/>
              </w:rPr>
              <w:t>certainty</w:t>
            </w:r>
            <w:proofErr w:type="spellEnd"/>
            <w:r>
              <w:rPr>
                <w:b/>
                <w:sz w:val="18"/>
              </w:rPr>
              <w:t xml:space="preserve"> </w:t>
            </w:r>
            <w:proofErr w:type="spellStart"/>
            <w:r>
              <w:rPr>
                <w:b/>
                <w:sz w:val="18"/>
              </w:rPr>
              <w:t>evidence</w:t>
            </w:r>
            <w:proofErr w:type="spellEnd"/>
            <w:r>
              <w:rPr>
                <w:b/>
                <w:sz w:val="18"/>
              </w:rPr>
              <w:t>).</w:t>
            </w:r>
          </w:p>
        </w:tc>
      </w:tr>
      <w:tr w:rsidR="00D92784" w:rsidRPr="001E0F0C" w14:paraId="0875EDE2" w14:textId="77777777">
        <w:trPr>
          <w:divId w:val="1900557851"/>
          <w:cantSplit/>
        </w:trPr>
        <w:tc>
          <w:tcPr>
            <w:tcW w:w="0" w:type="auto"/>
            <w:tcMar>
              <w:top w:w="0" w:type="dxa"/>
              <w:left w:w="0" w:type="dxa"/>
              <w:bottom w:w="0" w:type="dxa"/>
              <w:right w:w="0" w:type="dxa"/>
            </w:tcMar>
            <w:hideMark/>
          </w:tcPr>
          <w:p w14:paraId="578E483B" w14:textId="77777777" w:rsidR="00D92784" w:rsidRPr="001E0F0C" w:rsidRDefault="00D92784">
            <w:pPr>
              <w:rPr>
                <w:rFonts w:eastAsia="Times New Roman" w:cstheme="minorHAnsi"/>
                <w:sz w:val="20"/>
                <w:szCs w:val="20"/>
                <w:lang w:val="en-US"/>
              </w:rPr>
            </w:pPr>
            <w:r>
              <w:rPr>
                <w:sz w:val="18"/>
              </w:rPr>
              <w:t xml:space="preserve">Remarks. This keeps the direction and the strength of the 2020 recommendation. Systems should activate notification for all eligible arrests, including those at home, and support responders after alerts. All evidence comes from high-income systems.</w:t>
            </w:r>
          </w:p>
        </w:tc>
      </w:tr>
    </w:tbl>
    <w:p w14:paraId="2F33A08A" w14:textId="77777777" w:rsidR="0053025C" w:rsidRDefault="0053025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00"/>
      </w:tblGrid>
      <w:tr w:rsidR="00D92784" w:rsidRPr="001E0F0C" w14:paraId="79E551BA" w14:textId="77777777">
        <w:trPr>
          <w:cantSplit/>
        </w:trPr>
        <w:tc>
          <w:tcPr>
            <w:tcW w:w="0" w:type="auto"/>
            <w:shd w:val="clear" w:color="auto" w:fill="2E74B5"/>
            <w:tcMar>
              <w:top w:w="75" w:type="dxa"/>
              <w:left w:w="75" w:type="dxa"/>
              <w:bottom w:w="75" w:type="dxa"/>
              <w:right w:w="75" w:type="dxa"/>
            </w:tcMar>
            <w:hideMark/>
          </w:tcPr>
          <w:p w14:paraId="6AA292C4"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olor w:val="FFFFFF"/>
                <w:sz w:val="20"/>
                <w:szCs w:val="20"/>
              </w:rPr>
            </w:pPr>
            <w:r>
              <w:rPr>
                <w:rFonts w:asciiTheme="minorHAnsi" w:eastAsia="Times New Roman" w:hAnsiTheme="minorHAnsi" w:cstheme="minorHAnsi"/>
                <w:color w:val="FFFFFF"/>
                <w:sz w:val="20"/>
                <w:szCs w:val="20"/>
              </w:rPr>
              <w:t>Justification</w:t>
            </w:r>
          </w:p>
        </w:tc>
      </w:tr>
      <w:tr w:rsidR="00D92784" w:rsidRPr="001E0F0C" w14:paraId="64813BF2" w14:textId="77777777">
        <w:trPr>
          <w:cantSplit/>
          <w:trHeight w:val="1080"/>
        </w:trPr>
        <w:tc>
          <w:tcPr>
            <w:tcW w:w="0" w:type="auto"/>
            <w:tcMar>
              <w:top w:w="75" w:type="dxa"/>
              <w:left w:w="75" w:type="dxa"/>
              <w:bottom w:w="75" w:type="dxa"/>
              <w:right w:w="75" w:type="dxa"/>
            </w:tcMar>
            <w:hideMark/>
          </w:tcPr>
          <w:p w14:paraId="6D7D3551" w14:textId="77777777" w:rsidR="008A43FC" w:rsidRDefault="00DC51F6">
            <w:r>
              <w:rPr>
                <w:sz w:val="18"/>
              </w:rPr>
              <w:t xml:space="preserve">Strong recommendation on very low-certainty evidence. Out-of-hospital cardiac arrest is life-threatening, and survival depends on what happens before and when EMS arrives. The RCT (Ringh 2015</w:t>
            </w:r>
            <w:r>
              <w:rPr>
                <w:sz w:val="18"/>
                <w:vertAlign w:val="superscript"/>
              </w:rPr>
              <w:t xml:space="preserve">3</w:t>
            </w:r>
            <w:r>
              <w:rPr>
                <w:sz w:val="18"/>
              </w:rPr>
              <w:t xml:space="preserve">) shows a moderate-certainty increase in bystander CPR, an outcome on the path to survival, and the point estimates of the main pooled analyses lie above 1. Measured harms to responders are small and can potentially be mitigated. </w:t>
            </w:r>
            <w:proofErr w:type="spellStart"/>
            <w:r w:rsidRPr="00217559">
              <w:rPr>
                <w:sz w:val="18"/>
              </w:rPr>
              <w:t xml:space="preserve">This represents the first of the GRADE situations in which a strong recommendation can rest on low or very low certainty: a life-threatening condition, evidence that suggests benefit, and small harms.</w:t>
            </w:r>
            <w:r w:rsidRPr="00217559">
              <w:rPr>
                <w:sz w:val="18"/>
                <w:vertAlign w:val="superscript"/>
              </w:rPr>
              <w:t xml:space="preserve">26</w:t>
            </w:r>
            <w:proofErr w:type="spellEnd"/>
            <w:r w:rsidRPr="00217559">
              <w:rPr>
                <w:sz w:val="18"/>
              </w:rPr>
              <w:t xml:space="preserve"/>
            </w:r>
            <w:proofErr w:type="spellStart"/>
            <w:r w:rsidRPr="00217559">
              <w:rPr>
                <w:sz w:val="18"/>
              </w:rPr>
              <w:t xml:space="preserve"/>
            </w:r>
            <w:proofErr w:type="spellEnd"/>
            <w:r w:rsidRPr="00217559">
              <w:rPr>
                <w:sz w:val="18"/>
              </w:rPr>
              <w:t xml:space="preserve"/>
            </w:r>
            <w:proofErr w:type="spellStart"/>
            <w:r w:rsidRPr="00217559">
              <w:rPr>
                <w:sz w:val="18"/>
              </w:rPr>
              <w:t xml:space="preserve"/>
            </w:r>
            <w:proofErr w:type="spellEnd"/>
            <w:r w:rsidRPr="00217559">
              <w:rPr>
                <w:sz w:val="18"/>
              </w:rPr>
              <w:t xml:space="preserve"/>
            </w:r>
            <w:r>
              <w:rPr>
                <w:sz w:val="18"/>
              </w:rPr>
              <w:t xml:space="preserve"> The new evidence does not justify downgrading the strong recommendation made in 2020.</w:t>
            </w:r>
            <w:r>
              <w:rPr>
                <w:sz w:val="18"/>
                <w:vertAlign w:val="superscript"/>
              </w:rPr>
              <w:t xml:space="preserve">2</w:t>
            </w:r>
            <w:r>
              <w:rPr>
                <w:sz w:val="18"/>
              </w:rPr>
              <w:t xml:space="preserve"> Costs vary, and are lower where dispatch software and responder networks already exist; the intervention is probably acceptable and already implemented at national scale. This keeps the direction of the 2015 recommendation and the strength of the 2020 recommendation.</w:t>
            </w:r>
          </w:p>
          <w:p w14:paraId="77736214" w14:textId="77777777" w:rsidR="00B84697" w:rsidRDefault="00DC51F6">
            <w:r>
              <w:rPr>
                <w:sz w:val="18"/>
              </w:rPr>
              <w:t xml:space="preserve">Time before EMS arrival. As EMS systems improve, the remaining gap is the minutes before EMS arrives, especially for arrests at home; community responder systems are designed to shorten this interval. Responders arrived before EMS in 23%, 47% and 71% of cases when the EMS response time was under 5, 5 to 10, and over 10 minutes (Andelius 2020</w:t>
            </w:r>
            <w:r>
              <w:rPr>
                <w:sz w:val="18"/>
                <w:vertAlign w:val="superscript"/>
              </w:rPr>
              <w:t xml:space="preserve">14</w:t>
            </w:r>
            <w:r>
              <w:rPr>
                <w:sz w:val="18"/>
              </w:rPr>
              <w:t xml:space="preserve">). Where EMS or dispatch is not yet in place, a community responder system is not the first priority.</w:t>
            </w:r>
          </w:p>
          <w:p w14:paraId="20868AA2" w14:textId="77777777" w:rsidR="00B84697" w:rsidRDefault="00DC51F6">
            <w:r>
              <w:rPr>
                <w:sz w:val="18"/>
              </w:rPr>
              <w:t xml:space="preserve">Limits. The effect on survival could not be determined (Ringh 2015</w:t>
            </w:r>
            <w:r>
              <w:rPr>
                <w:sz w:val="18"/>
                <w:vertAlign w:val="superscript"/>
              </w:rPr>
              <w:t xml:space="preserve">3</w:t>
            </w:r>
            <w:r>
              <w:rPr>
                <w:sz w:val="18"/>
              </w:rPr>
              <w:t xml:space="preserve">, 30-day survival 1.34, 0.79–2.29; before–after studies, 1.28 (0.72–2.28)): no effect was detected in either direction, and the confidence intervals include fewer as well as more survivors (from 17 fewer to 91 more per 1,000 in the RCT, and from 24 fewer to 94 more in the before-after studies). The HeartRunner randomized trial (NCT03835403) has been reported only by press release (ESC 2026); publication of its results should trigger re-evaluation.</w:t>
            </w:r>
          </w:p>
        </w:tc>
      </w:tr>
    </w:tbl>
    <w:p w14:paraId="4CE59D9D" w14:textId="77777777" w:rsidR="0053025C" w:rsidRDefault="0053025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00"/>
      </w:tblGrid>
      <w:tr w:rsidR="00D92784" w:rsidRPr="001E0F0C" w14:paraId="63DC9ECE" w14:textId="77777777">
        <w:trPr>
          <w:divId w:val="2141067894"/>
          <w:cantSplit/>
        </w:trPr>
        <w:tc>
          <w:tcPr>
            <w:tcW w:w="0" w:type="auto"/>
            <w:shd w:val="clear" w:color="auto" w:fill="2E74B5"/>
            <w:tcMar>
              <w:top w:w="75" w:type="dxa"/>
              <w:left w:w="75" w:type="dxa"/>
              <w:bottom w:w="75" w:type="dxa"/>
              <w:right w:w="75" w:type="dxa"/>
            </w:tcMar>
            <w:hideMark/>
          </w:tcPr>
          <w:p w14:paraId="1FDC5CB0"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olor w:val="FFFFFF"/>
                <w:sz w:val="20"/>
                <w:szCs w:val="20"/>
              </w:rPr>
            </w:pPr>
            <w:proofErr w:type="spellStart"/>
            <w:r>
              <w:rPr>
                <w:rFonts w:asciiTheme="minorHAnsi" w:eastAsia="Times New Roman" w:hAnsiTheme="minorHAnsi" w:cstheme="minorHAnsi"/>
                <w:color w:val="FFFFFF"/>
                <w:sz w:val="20"/>
                <w:szCs w:val="20"/>
              </w:rPr>
              <w:t>Subgroup</w:t>
            </w:r>
            <w:proofErr w:type="spellEnd"/>
            <w:r>
              <w:rPr>
                <w:rFonts w:asciiTheme="minorHAnsi" w:eastAsia="Times New Roman" w:hAnsiTheme="minorHAnsi" w:cstheme="minorHAnsi"/>
                <w:color w:val="FFFFFF"/>
                <w:sz w:val="20"/>
                <w:szCs w:val="20"/>
              </w:rPr>
              <w:t xml:space="preserve"> </w:t>
            </w:r>
            <w:proofErr w:type="spellStart"/>
            <w:r>
              <w:rPr>
                <w:rFonts w:asciiTheme="minorHAnsi" w:eastAsia="Times New Roman" w:hAnsiTheme="minorHAnsi" w:cstheme="minorHAnsi"/>
                <w:color w:val="FFFFFF"/>
                <w:sz w:val="20"/>
                <w:szCs w:val="20"/>
              </w:rPr>
              <w:t>considerations</w:t>
            </w:r>
            <w:proofErr w:type="spellEnd"/>
          </w:p>
        </w:tc>
      </w:tr>
      <w:tr w:rsidR="00D92784" w:rsidRPr="001E0F0C" w14:paraId="275B294A" w14:textId="77777777">
        <w:trPr>
          <w:divId w:val="2141067894"/>
          <w:cantSplit/>
          <w:trHeight w:val="1080"/>
        </w:trPr>
        <w:tc>
          <w:tcPr>
            <w:tcW w:w="0" w:type="auto"/>
            <w:tcMar>
              <w:top w:w="75" w:type="dxa"/>
              <w:left w:w="75" w:type="dxa"/>
              <w:bottom w:w="75" w:type="dxa"/>
              <w:right w:w="75" w:type="dxa"/>
            </w:tcMar>
            <w:hideMark/>
          </w:tcPr>
          <w:p w14:paraId="21C540FF" w14:textId="77777777" w:rsidR="00E01DDE" w:rsidRDefault="00DC51F6">
            <w:r>
              <w:rPr>
                <w:sz w:val="18"/>
              </w:rPr>
              <w:t>Subgroup analyses by notification technology or setting were not feasible with the included studies. Head-to-head comparisons of dispatch strategies (</w:t>
            </w:r>
            <w:bookmarkStart w:id="3" w:name="_Hlk243334460"/>
            <w:r>
              <w:rPr>
                <w:sz w:val="18"/>
              </w:rPr>
              <w:t xml:space="preserve">SAMBA</w:t>
            </w:r>
            <w:r>
              <w:rPr>
                <w:sz w:val="18"/>
                <w:vertAlign w:val="superscript"/>
              </w:rPr>
              <w:t xml:space="preserve">4</w:t>
            </w:r>
            <w:r>
              <w:rPr>
                <w:sz w:val="18"/>
              </w:rPr>
              <w:t xml:space="preserve">; Caputo 2017</w:t>
            </w:r>
            <w:r>
              <w:rPr>
                <w:sz w:val="18"/>
                <w:vertAlign w:val="superscript"/>
              </w:rPr>
              <w:t xml:space="preserve">5</w:t>
            </w:r>
            <w:bookmarkEnd w:id="3"/>
            <w:r>
              <w:rPr>
                <w:sz w:val="18"/>
              </w:rPr>
              <w:t>), a prespecified subgroup, do not inform notification versus no notification. No pediatric comparative evidence and no evidence from low- or middle-income settings.</w:t>
            </w:r>
          </w:p>
        </w:tc>
      </w:tr>
    </w:tbl>
    <w:p w14:paraId="6F4BCDA1" w14:textId="77777777" w:rsidR="0053025C" w:rsidRDefault="0053025C"/>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D92784" w:rsidRPr="001E0F0C" w14:paraId="417B43F0" w14:textId="77777777">
        <w:trPr>
          <w:cantSplit/>
        </w:trPr>
        <w:tc>
          <w:tcPr>
            <w:tcW w:w="0" w:type="auto"/>
            <w:tcBorders>
              <w:bottom w:val="single" w:sz="4" w:space="0" w:color="auto"/>
            </w:tcBorders>
            <w:shd w:val="clear" w:color="auto" w:fill="2E74B5"/>
            <w:tcMar>
              <w:top w:w="75" w:type="dxa"/>
              <w:left w:w="75" w:type="dxa"/>
              <w:bottom w:w="75" w:type="dxa"/>
              <w:right w:w="75" w:type="dxa"/>
            </w:tcMar>
            <w:hideMark/>
          </w:tcPr>
          <w:p w14:paraId="4A1C79D9"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olor w:val="FFFFFF"/>
                <w:sz w:val="20"/>
                <w:szCs w:val="20"/>
              </w:rPr>
            </w:pPr>
            <w:r>
              <w:rPr>
                <w:rFonts w:asciiTheme="minorHAnsi" w:eastAsia="Times New Roman" w:hAnsiTheme="minorHAnsi" w:cstheme="minorHAnsi"/>
                <w:color w:val="FFFFFF"/>
                <w:sz w:val="20"/>
                <w:szCs w:val="20"/>
              </w:rPr>
              <w:lastRenderedPageBreak/>
              <w:t>Implementation considerations</w:t>
            </w:r>
          </w:p>
        </w:tc>
      </w:tr>
      <w:tr w:rsidR="00D92784" w:rsidRPr="001E0F0C" w14:paraId="170444AB" w14:textId="77777777">
        <w:trPr>
          <w:cantSplit/>
          <w:trHeight w:val="1080"/>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30EA1A51" w14:textId="77777777" w:rsidR="008A43FC" w:rsidRDefault="00DC51F6">
            <w:r>
              <w:rPr>
                <w:sz w:val="18"/>
              </w:rPr>
              <w:t xml:space="preserve">Activate notification for all eligible arrests, including those at home: dispatchers did not activate the system for 26% of eligible patients in the RCT (Ringh 2015</w:t>
            </w:r>
            <w:r>
              <w:rPr>
                <w:sz w:val="18"/>
                <w:vertAlign w:val="superscript"/>
              </w:rPr>
              <w:t xml:space="preserve">3</w:t>
            </w:r>
            <w:r>
              <w:rPr>
                <w:sz w:val="18"/>
              </w:rPr>
              <w:t xml:space="preserve">) and for 41.8% of EMS-treated arrests in two Dutch regions (Zijlstra 2014</w:t>
            </w:r>
            <w:r>
              <w:rPr>
                <w:sz w:val="18"/>
                <w:vertAlign w:val="superscript"/>
              </w:rPr>
              <w:t xml:space="preserve">24</w:t>
            </w:r>
            <w:r>
              <w:rPr>
                <w:sz w:val="18"/>
              </w:rPr>
              <w:t xml:space="preserve">).</w:t>
            </w:r>
          </w:p>
          <w:p w14:paraId="20005DE2" w14:textId="77777777" w:rsidR="00B84697" w:rsidRDefault="00DC51F6">
            <w:r>
              <w:rPr>
                <w:sz w:val="18"/>
              </w:rPr>
              <w:t xml:space="preserve">Recruit enough responders and raise response rates for local coverage (Smith 2022</w:t>
            </w:r>
            <w:r>
              <w:rPr>
                <w:sz w:val="18"/>
                <w:vertAlign w:val="superscript"/>
              </w:rPr>
              <w:t xml:space="preserve">13</w:t>
            </w:r>
            <w:r>
              <w:rPr>
                <w:sz w:val="18"/>
              </w:rPr>
              <w:t xml:space="preserve">; Takahashi 2025</w:t>
            </w:r>
            <w:r>
              <w:rPr>
                <w:sz w:val="18"/>
                <w:vertAlign w:val="superscript"/>
              </w:rPr>
              <w:t xml:space="preserve">8</w:t>
            </w:r>
            <w:r>
              <w:rPr>
                <w:sz w:val="18"/>
              </w:rPr>
              <w:t xml:space="preserve">), including where EMS response is slow.</w:t>
            </w:r>
          </w:p>
          <w:p w14:paraId="491E7361" w14:textId="77777777" w:rsidR="00B84697" w:rsidRDefault="00DC51F6">
            <w:r>
              <w:rPr>
                <w:sz w:val="18"/>
              </w:rPr>
              <w:t>Cover homes and night hours, so that the system does not leave out most arrests (equity).</w:t>
            </w:r>
          </w:p>
          <w:p w14:paraId="303D26A2" w14:textId="77777777" w:rsidR="00B84697" w:rsidRDefault="00DC51F6">
            <w:r>
              <w:rPr>
                <w:sz w:val="18"/>
              </w:rPr>
              <w:t>Link notification to an AED registry.</w:t>
            </w:r>
          </w:p>
          <w:p w14:paraId="34FFD8E3" w14:textId="77777777" w:rsidR="00B84697" w:rsidRDefault="00DC51F6">
            <w:r>
              <w:rPr>
                <w:sz w:val="18"/>
              </w:rPr>
              <w:t xml:space="preserve">Follow up responders after alerts (Andelius 2020</w:t>
            </w:r>
            <w:r>
              <w:rPr>
                <w:sz w:val="18"/>
                <w:vertAlign w:val="superscript"/>
              </w:rPr>
              <w:t xml:space="preserve">14</w:t>
            </w:r>
            <w:r>
              <w:rPr>
                <w:sz w:val="18"/>
              </w:rPr>
              <w:t xml:space="preserve">; Kragh 2021</w:t>
            </w:r>
            <w:r>
              <w:rPr>
                <w:sz w:val="18"/>
                <w:vertAlign w:val="superscript"/>
              </w:rPr>
              <w:t xml:space="preserve">18</w:t>
            </w:r>
            <w:r>
              <w:rPr>
                <w:sz w:val="18"/>
              </w:rPr>
              <w:t xml:space="preserve">).</w:t>
            </w:r>
          </w:p>
          <w:p w14:paraId="5630539B" w14:textId="77777777" w:rsidR="00B84697" w:rsidRDefault="00DC51F6">
            <w:r>
              <w:rPr>
                <w:sz w:val="18"/>
              </w:rPr>
              <w:t xml:space="preserve">Allow dispatchers to stand down responders when obvious death is reported (Smida 2022</w:t>
            </w:r>
            <w:r>
              <w:rPr>
                <w:sz w:val="18"/>
                <w:vertAlign w:val="superscript"/>
              </w:rPr>
              <w:t xml:space="preserve">12</w:t>
            </w:r>
            <w:r>
              <w:rPr>
                <w:sz w:val="18"/>
              </w:rPr>
              <w:t xml:space="preserve">).</w:t>
            </w:r>
          </w:p>
        </w:tc>
      </w:tr>
    </w:tbl>
    <w:p w14:paraId="19CB020E" w14:textId="77777777" w:rsidR="00D92784" w:rsidRPr="001E0F0C" w:rsidRDefault="00D92784">
      <w:pPr>
        <w:divId w:val="2064716713"/>
        <w:rPr>
          <w:rFonts w:eastAsia="Times New Roman" w:cstheme="minorHAns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D92784" w:rsidRPr="001E0F0C" w14:paraId="42A5DD18" w14:textId="77777777">
        <w:trPr>
          <w:divId w:val="2064716713"/>
          <w:cantSplit/>
        </w:trPr>
        <w:tc>
          <w:tcPr>
            <w:tcW w:w="0" w:type="auto"/>
            <w:tcBorders>
              <w:bottom w:val="single" w:sz="4" w:space="0" w:color="auto"/>
            </w:tcBorders>
            <w:shd w:val="clear" w:color="auto" w:fill="2E74B5"/>
            <w:tcMar>
              <w:top w:w="75" w:type="dxa"/>
              <w:left w:w="75" w:type="dxa"/>
              <w:bottom w:w="75" w:type="dxa"/>
              <w:right w:w="75" w:type="dxa"/>
            </w:tcMar>
            <w:hideMark/>
          </w:tcPr>
          <w:p w14:paraId="1C1A93D4" w14:textId="77777777" w:rsidR="00D92784" w:rsidRPr="001E0F0C" w:rsidRDefault="00B909BD">
            <w:pPr>
              <w:pStyle w:val="Heading2"/>
              <w:keepNext/>
              <w:spacing w:before="0" w:beforeAutospacing="0" w:after="0" w:afterAutospacing="0" w:line="240" w:lineRule="atLeast"/>
              <w:divId w:val="1223251697"/>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Monitoring and evaluation</w:t>
            </w:r>
          </w:p>
        </w:tc>
      </w:tr>
      <w:tr w:rsidR="00D92784" w:rsidRPr="001E0F0C" w14:paraId="6D5502A5" w14:textId="77777777">
        <w:trPr>
          <w:divId w:val="2064716713"/>
          <w:cantSplit/>
          <w:trHeight w:val="1080"/>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701FBA95" w14:textId="77777777" w:rsidR="008A43FC" w:rsidRDefault="00DC51F6">
            <w:r>
              <w:rPr>
                <w:sz w:val="18"/>
              </w:rPr>
              <w:t>Per eligible arrest: alert issued, accepted, arrival, arrival before EMS, care delivered; system downtime; responder harm measured with validated instruments.</w:t>
            </w:r>
          </w:p>
          <w:p w14:paraId="0C45D04E" w14:textId="77777777" w:rsidR="00B84697" w:rsidRDefault="00DC51F6">
            <w:r>
              <w:rPr>
                <w:sz w:val="18"/>
              </w:rPr>
              <w:t>Re-evaluate when HeartRunner (NCT03835403), DISPATCH (NCT03633370) or REAP (DRKS00031349) report.</w:t>
            </w:r>
          </w:p>
        </w:tc>
      </w:tr>
    </w:tbl>
    <w:p w14:paraId="71536AA0" w14:textId="77777777" w:rsidR="0053025C" w:rsidRDefault="0053025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00"/>
      </w:tblGrid>
      <w:tr w:rsidR="00D92784" w:rsidRPr="001E0F0C" w14:paraId="18C686E3" w14:textId="77777777">
        <w:trPr>
          <w:cantSplit/>
        </w:trPr>
        <w:tc>
          <w:tcPr>
            <w:tcW w:w="0" w:type="auto"/>
            <w:shd w:val="clear" w:color="auto" w:fill="2E74B5"/>
            <w:tcMar>
              <w:top w:w="75" w:type="dxa"/>
              <w:left w:w="75" w:type="dxa"/>
              <w:bottom w:w="75" w:type="dxa"/>
              <w:right w:w="75" w:type="dxa"/>
            </w:tcMar>
            <w:hideMark/>
          </w:tcPr>
          <w:p w14:paraId="282E718A" w14:textId="77777777" w:rsidR="00D92784" w:rsidRPr="001E0F0C" w:rsidRDefault="00B909BD">
            <w:pPr>
              <w:pStyle w:val="Heading2"/>
              <w:keepNext/>
              <w:spacing w:before="0" w:beforeAutospacing="0" w:after="0" w:afterAutospacing="0" w:line="240" w:lineRule="atLeast"/>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Research priorities</w:t>
            </w:r>
          </w:p>
        </w:tc>
      </w:tr>
      <w:tr w:rsidR="00D92784" w:rsidRPr="001E0F0C" w14:paraId="7332983F" w14:textId="77777777">
        <w:trPr>
          <w:cantSplit/>
          <w:trHeight w:val="1080"/>
        </w:trPr>
        <w:tc>
          <w:tcPr>
            <w:tcW w:w="0" w:type="auto"/>
            <w:tcMar>
              <w:top w:w="75" w:type="dxa"/>
              <w:left w:w="75" w:type="dxa"/>
              <w:bottom w:w="75" w:type="dxa"/>
              <w:right w:w="75" w:type="dxa"/>
            </w:tcMar>
            <w:hideMark/>
          </w:tcPr>
          <w:p w14:paraId="13317E72" w14:textId="77777777" w:rsidR="00E01DDE" w:rsidRDefault="00DC51F6">
            <w:r>
              <w:rPr>
                <w:sz w:val="18"/>
              </w:rPr>
              <w:t xml:space="preserve">1. There is insufficient evidence to determine whether mobile-technology notification of community responders (volunteers registered with a smartphone application or text-message alert linked to emergency dispatch, distinct from the EMS response), compared with no notification, improves survival to hospital discharge or 30 days and survival with favorable neurological outcome in adults and children with out-of-hospital cardiac arrest.</w:t>
            </w:r>
          </w:p>
          <w:p w14:paraId="13317E72" w14:textId="77777777" w:rsidR="00E01DDE" w:rsidRDefault="00DC51F6">
            <w:r>
              <w:rPr>
                <w:sz w:val="18"/>
              </w:rPr>
              <w:t xml:space="preserve">2. There is insufficient evidence to determine whether mobile-technology notification of community responders, compared with no notification, is cost-effective for out-of-hospital cardiac arrest from a health-system perspective.</w:t>
            </w:r>
          </w:p>
          <w:p w14:paraId="13317E72" w14:textId="77777777" w:rsidR="00E01DDE" w:rsidRDefault="00DC51F6">
            <w:r>
              <w:rPr>
                <w:sz w:val="18"/>
              </w:rPr>
              <w:t xml:space="preserve">3. There is insufficient evidence to determine how survivors of out-of-hospital cardiac arrest, their families and members of the public weigh a possible survival benefit of notification of community responders, compared with an EMS response alone, against privacy and a stranger entering a private home.</w:t>
            </w:r>
          </w:p>
          <w:p w14:paraId="13317E72" w14:textId="77777777" w:rsidR="00E01DDE" w:rsidRDefault="00DC51F6">
            <w:r>
              <w:rPr>
                <w:sz w:val="18"/>
              </w:rPr>
              <w:t xml:space="preserve">4. There is insufficient evidence to determine whether mobile-technology notification of community responders, compared with no notification, improves bystander defibrillation and survival after out-of-hospital cardiac arrest in rural and remote areas, where EMS response times are longer.</w:t>
            </w:r>
          </w:p>
          <w:p w14:paraId="13317E72" w14:textId="77777777" w:rsidR="00E01DDE" w:rsidRDefault="00DC51F6">
            <w:r>
              <w:rPr>
                <w:sz w:val="18"/>
              </w:rPr>
              <w:t xml:space="preserve">5. There is insufficient evidence to determine whether mobile-technology notification of community responders, compared with no notification, increases bystander CPR, bystander defibrillation and survival after out-of-hospital cardiac arrest in low- and middle-income countries.</w:t>
            </w:r>
          </w:p>
          <w:p w14:paraId="13317E72" w14:textId="77777777" w:rsidR="00E01DDE" w:rsidRDefault="00DC51F6">
            <w:r>
              <w:rPr>
                <w:sz w:val="18"/>
              </w:rPr>
              <w:t xml:space="preserve">6. There is insufficient evidence to determine which dispatch strategy for notified community responders, such as the alert radius, sending responders to an AED first or straight to the patient, or alerting by app or text message, compared with an alternative strategy, increases defibrillation before EMS arrival in out-of-hospital cardiac arrest, an outcome on the path to survival.</w:t>
            </w:r>
          </w:p>
          <w:p w14:paraId="13317E72" w14:textId="77777777" w:rsidR="00E01DDE" w:rsidRDefault="00DC51F6">
            <w:r>
              <w:rPr>
                <w:sz w:val="18"/>
              </w:rPr>
              <w:t xml:space="preserve">7. There is insufficient evidence to determine whether structured follow-up of community responders after an alert (for example a debriefing call and an offer of professional support), compared with no or usual follow-up, reduces psychological harm beyond six weeks, measured with validated instruments, and keeps responders enrolled, on which the coverage of the system depends.</w:t>
            </w:r>
          </w:p>
        </w:tc>
      </w:tr>
    </w:tbl>
    <w:p w14:paraId="7707A5B7" w14:textId="77777777" w:rsidR="00962916" w:rsidRDefault="0096291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00"/>
      </w:tblGrid>
      <w:tr w:rsidR="0053025C" w14:paraId="2B76ADEE" w14:textId="77777777">
        <w:tc>
          <w:tcPr>
            <w:tcW w:w="0" w:type="auto"/>
            <w:shd w:val="clear" w:color="auto" w:fill="2E74B5"/>
            <w:tcMar>
              <w:top w:w="75" w:type="dxa"/>
              <w:left w:w="75" w:type="dxa"/>
              <w:bottom w:w="75" w:type="dxa"/>
              <w:right w:w="75" w:type="dxa"/>
            </w:tcMar>
            <w:hideMark/>
          </w:tcPr>
          <w:p w14:paraId="7B6D4ED8" w14:textId="77777777" w:rsidR="0053025C" w:rsidRDefault="00DC51F6">
            <w:pPr>
              <w:pStyle w:val="Heading2"/>
              <w:keepNext/>
              <w:spacing w:before="0" w:beforeAutospacing="0" w:after="0" w:afterAutospacing="0" w:line="240" w:lineRule="atLeast"/>
              <w:rPr>
                <w:rFonts w:asciiTheme="minorHAnsi" w:eastAsia="Times New Roman" w:hAnsiTheme="minorHAnsi" w:cstheme="minorHAnsi"/>
                <w:color w:val="FFFFFF"/>
                <w:sz w:val="20"/>
                <w:szCs w:val="20"/>
                <w:lang w:val="en-US"/>
              </w:rPr>
            </w:pPr>
            <w:r>
              <w:rPr>
                <w:rFonts w:asciiTheme="minorHAnsi" w:eastAsia="Times New Roman" w:hAnsiTheme="minorHAnsi" w:cstheme="minorHAnsi"/>
                <w:color w:val="FFFFFF"/>
                <w:sz w:val="20"/>
                <w:szCs w:val="20"/>
                <w:lang w:val="en-US"/>
              </w:rPr>
              <w:t>References</w:t>
            </w:r>
          </w:p>
        </w:tc>
      </w:tr>
      <w:tr w:rsidR="0053025C" w14:paraId="22DC3114" w14:textId="77777777">
        <w:tc>
          <w:tcPr>
            <w:tcW w:w="0" w:type="auto"/>
            <w:tcMar>
              <w:top w:w="75" w:type="dxa"/>
              <w:left w:w="75" w:type="dxa"/>
              <w:bottom w:w="75" w:type="dxa"/>
              <w:right w:w="75" w:type="dxa"/>
            </w:tcMar>
            <w:hideMark/>
          </w:tcPr>
          <w:p w14:paraId="02FB47E0" w14:textId="77777777" w:rsidR="0053025C" w:rsidRDefault="00DC51F6">
            <w:pPr>
              <w:spacing w:after="80"/>
            </w:pPr>
            <w:r>
              <w:rPr>
                <w:sz w:val="18"/>
              </w:rPr>
              <w:t xml:space="preserve">1. Bhanji F, Finn JC, Lockey A, Monsieurs K, Frengley R, Iwami T, Lang E, Ma MH, Mancini ME, McNeil MA, Greif R, Billi JE, Nadkarni VM and Bigham B. Part 8: Education, Implementation, and Teams: 2015 International Consensus on Cardiopulmonary Resuscitation and Emergency Cardiovascular Care Science With Treatment Recommendations. Circulation. 2015;132(16 Suppl 1):S242-68.</w:t>
            </w:r>
          </w:p>
          <w:p w14:paraId="02FB47E0" w14:textId="77777777" w:rsidR="0053025C" w:rsidRDefault="00DC51F6">
            <w:pPr>
              <w:spacing w:after="80"/>
            </w:pPr>
            <w:r>
              <w:rPr>
                <w:sz w:val="18"/>
              </w:rPr>
              <w:t xml:space="preserve">2. Greif R, Bhanji F, Bigham BL, Bray J, Breckwoldt J, Cheng A, Duff JP, Gilfoyle E, Hsieh MJ, Iwami T, Lauridsen KG, Lockey AS, Ma MH, Monsieurs KG, Okamoto D, Pellegrino JL, Yeung J, Finn JC, Baldi E, Beck S, Beckers SK, Blewer AL, Boulton A, Liu CH, Yang CW, Coppola A, Dainty KN, Damjanovic D, Djärv T, Donoghue A, Georgiou M, Gunson I, Krob JL, Kuzovlev A, Ko YC, Leary M, Lin Y, Mancini ME, Matsuyama T, Navarro K, Nehme Z, Orkin AM, Pellis T, Pflanzl-Knizacek L, Pisapia L, Saviani M, Sawyer T, Scapigliati A, Schnaubelt S, Scholefield B, Semeraro F, Shammet S, Smyth MA, Ward A and Zace D. Education, Implementation, and Teams: 2020 International Consensus on Cardiopulmonary Resuscitation and Emergency Cardiovascular Care Science With Treatment Recommendations. Resuscitation. 2020;156:A188-A239.</w:t>
            </w:r>
          </w:p>
          <w:p w14:paraId="02FB47E0" w14:textId="77777777" w:rsidR="0053025C" w:rsidRDefault="00DC51F6">
            <w:pPr>
              <w:spacing w:after="80"/>
            </w:pPr>
            <w:r>
              <w:rPr>
                <w:sz w:val="18"/>
              </w:rPr>
              <w:t xml:space="preserve">3. Ringh M, Rosenqvist M, Hollenberg J, Jonsson M, Fredman D, Nordberg P, Järnbert-Pettersson H, Hasselqvist-Ax I, Riva G and Svensson L. Mobile-phone dispatch of laypersons for CPR in out-of-hospital cardiac arrest. N Engl J Med. 2015;372:2316-25.</w:t>
            </w:r>
          </w:p>
          <w:p w14:paraId="02FB47E0" w14:textId="77777777" w:rsidR="0053025C" w:rsidRDefault="00DC51F6">
            <w:pPr>
              <w:spacing w:after="80"/>
            </w:pPr>
            <w:r>
              <w:rPr>
                <w:sz w:val="18"/>
              </w:rPr>
              <w:t xml:space="preserve">4. Berglund E, Hollenberg J, Jonsson M, Svensson L, Claesson A, Nord A, Nordberg P, Forsberg S, Rosenqvist M, Lundgren P, Högstedt Å, Riva G and Ringh M. Effect of Smartphone Dispatch of Volunteer Responders on Automated External Defibrillators and Out-of-Hospital Cardiac Arrests: The SAMBA Randomized Clinical Trial. JAMA Cardiol. 2023;8:81-88.</w:t>
            </w:r>
          </w:p>
          <w:p w14:paraId="02FB47E0" w14:textId="77777777" w:rsidR="0053025C" w:rsidRDefault="00DC51F6">
            <w:pPr>
              <w:spacing w:after="80"/>
            </w:pPr>
            <w:r>
              <w:rPr>
                <w:sz w:val="18"/>
              </w:rPr>
              <w:t xml:space="preserve">5. Caputo ML, Muschietti S, Burkart R, Benvenuti C, Conte G, Regoli F, Mauri R, Klersy C, Moccetti T and Auricchio A. Lay persons alerted by mobile application system initiate earlier cardio-pulmonary resuscitation: A comparison with SMS-based system notification. Resuscitation. 2017;114:73-78.</w:t>
            </w:r>
          </w:p>
          <w:p w14:paraId="02FB47E0" w14:textId="77777777" w:rsidR="0053025C" w:rsidRDefault="00DC51F6">
            <w:pPr>
              <w:spacing w:after="80"/>
            </w:pPr>
            <w:r>
              <w:rPr>
                <w:sz w:val="18"/>
              </w:rPr>
              <w:t xml:space="preserve">6. Pek PP, Fook-Chong SMC, Sudharshan P, Ge Y, Ng YY, Leong BS, Mao DR, Chia MYC, Ng WM, Gan HN, Doctor NE, Tham LP, Shahidah N, White AE, Hong D and Ong MEH. Impact of AEDs and training of smartphone activated volunteers in residential areas on OHCA: a nationwide stepped-wedge implementation trial. Resuscitation. 2025;217:110826.</w:t>
            </w:r>
          </w:p>
          <w:p w14:paraId="02FB47E0" w14:textId="77777777" w:rsidR="0053025C" w:rsidRDefault="00DC51F6">
            <w:pPr>
              <w:spacing w:after="80"/>
            </w:pPr>
            <w:r>
              <w:rPr>
                <w:sz w:val="18"/>
              </w:rPr>
              <w:t xml:space="preserve">7. Lee SY, Shin SD, Lee YJ, Song KJ, Hong KJ, Ro YS, Lee EJ and Kong SY. Text message alert system and resuscitation outcomes after out-of-hospital cardiac arrest: A before-and-after population-based study. Resuscitation. 2019;138:198-207.</w:t>
            </w:r>
          </w:p>
          <w:p w14:paraId="02FB47E0" w14:textId="77777777" w:rsidR="0053025C" w:rsidRDefault="00DC51F6">
            <w:pPr>
              <w:spacing w:after="80"/>
            </w:pPr>
            <w:r>
              <w:rPr>
                <w:sz w:val="18"/>
              </w:rPr>
              <w:t xml:space="preserve">8. Takahashi H, Ain N, Fook-Chong S, Qiao F, Shahidah N, Okada Y, Ng YY, Hong D, Leong BS, Chia MY, Mao DR, Tiah L, Mg WM, Doctor NE, Compton S and Ong ME. Impact of smartphone activated first responders on provision of bystander CPR, bystander AED and outcomes for out-of-hospital cardiac arrest (OHCA). Resuscitation. 2025;212:110645.</w:t>
            </w:r>
          </w:p>
          <w:p w14:paraId="02FB47E0" w14:textId="77777777" w:rsidR="0053025C" w:rsidRDefault="00DC51F6">
            <w:pPr>
              <w:spacing w:after="80"/>
            </w:pPr>
            <w:r>
              <w:rPr>
                <w:sz w:val="18"/>
              </w:rPr>
              <w:t xml:space="preserve">9. Stieglis R, Zijlstra JA, Riedijk F, Smeekes M, van der Worp WE, Tijssen JGP, Zwinderman AH, Blom MT and Koster RW. Alert system-supported lay defibrillation and basic life-support for cardiac arrest at home. Eur Heart J. 2022;43:1465-1474.</w:t>
            </w:r>
          </w:p>
          <w:p w14:paraId="02FB47E0" w14:textId="77777777" w:rsidR="0053025C" w:rsidRDefault="00DC51F6">
            <w:pPr>
              <w:spacing w:after="80"/>
            </w:pPr>
            <w:r>
              <w:rPr>
                <w:sz w:val="18"/>
              </w:rPr>
              <w:t xml:space="preserve">10. Oosterveer DM, de Visser M and Heringhaus C. Improved ROSC rates in out-of-hospital cardiac arrest patients after introduction of a text message alert system for trained volunteers. Neth Heart J. 2023;31:36-41.</w:t>
            </w:r>
          </w:p>
          <w:p w14:paraId="02FB47E0" w14:textId="77777777" w:rsidR="0053025C" w:rsidRDefault="00DC51F6">
            <w:pPr>
              <w:spacing w:after="80"/>
            </w:pPr>
            <w:r>
              <w:rPr>
                <w:sz w:val="18"/>
              </w:rPr>
              <w:t xml:space="preserve">11. Wong XY, Fan Q, Shahidah N, De Souza CR, Arulanandam S, Ng YY, Ng WM, Leong BSH, Chia MYC and Ong MEH. Impact of dispatcher-assisted cardiopulmonary resuscitation and myResponder mobile app on bystander resuscitation. Ann Acad Med Singap. 2021;50:212-221.</w:t>
            </w:r>
          </w:p>
          <w:p w14:paraId="02FB47E0" w14:textId="77777777" w:rsidR="0053025C" w:rsidRDefault="00DC51F6">
            <w:pPr>
              <w:spacing w:after="80"/>
            </w:pPr>
            <w:r>
              <w:rPr>
                <w:sz w:val="18"/>
              </w:rPr>
              <w:t xml:space="preserve">12. Smida T, Salerno J, Weiss L, Martin-Gill C and Salcido DD. PulsePoint dispatch associated patient characteristics and prehospital outcomes in a mid-sized metropolitan area. Resuscitation. 2022;170:36-43.</w:t>
            </w:r>
          </w:p>
          <w:p w14:paraId="02FB47E0" w14:textId="77777777" w:rsidR="0053025C" w:rsidRDefault="00DC51F6">
            <w:pPr>
              <w:spacing w:after="80"/>
            </w:pPr>
            <w:r>
              <w:rPr>
                <w:sz w:val="18"/>
              </w:rPr>
              <w:t xml:space="preserve">13. Smith CM, Lall R, Fothergill RT, Spaight R and Perkins GD. The effect of the GoodSAM volunteer first-responder app on survival to hospital discharge following out-of-hospital cardiac arrest. Eur Heart J Acute Cardiovasc Care. 2022;11:20-31.</w:t>
            </w:r>
          </w:p>
          <w:p w14:paraId="02FB47E0" w14:textId="77777777" w:rsidR="0053025C" w:rsidRDefault="00DC51F6">
            <w:pPr>
              <w:spacing w:after="80"/>
            </w:pPr>
            <w:r>
              <w:rPr>
                <w:sz w:val="18"/>
              </w:rPr>
              <w:t xml:space="preserve">14. Andelius L, Malta Hansen C, Lippert FK, Karlsson L, Torp-Pedersen C, Kjær Ersbøll A, Køber L, Collatz Christensen H, Blomberg SN, Gislason GH and Folke F. Smartphone Activation of Citizen Responders to Facilitate Defibrillation in Out-of-Hospital Cardiac Arrest. J Am Coll Cardiol. 2020;76:43-53.</w:t>
            </w:r>
          </w:p>
          <w:p w14:paraId="02FB47E0" w14:textId="77777777" w:rsidR="0053025C" w:rsidRDefault="00DC51F6">
            <w:pPr>
              <w:spacing w:after="80"/>
            </w:pPr>
            <w:r>
              <w:rPr>
                <w:sz w:val="18"/>
              </w:rPr>
              <w:t xml:space="preserve">15. Pijls RW, Nelemans PJ, Rahel BM and Gorgels AP. A text message alert system for trained volunteers improves out-of-hospital cardiac arrest survival. Resuscitation. 2016;105:182-7.</w:t>
            </w:r>
          </w:p>
          <w:p w14:paraId="02FB47E0" w14:textId="77777777" w:rsidR="0053025C" w:rsidRDefault="00DC51F6">
            <w:pPr>
              <w:spacing w:after="80"/>
            </w:pPr>
            <w:r>
              <w:rPr>
                <w:sz w:val="18"/>
              </w:rPr>
              <w:t xml:space="preserve">16. Pijls RWM, Nelemans PJ, Rahel BM and Gorgels APM. Circumstances and causes of sudden circulatory arrests in the Dutch province of Limburg and the involvement of citizen rescuers. Neth Heart J. 2018;26:41-48.</w:t>
            </w:r>
          </w:p>
          <w:p w14:paraId="02FB47E0" w14:textId="77777777" w:rsidR="0053025C" w:rsidRDefault="00DC51F6">
            <w:pPr>
              <w:spacing w:after="80"/>
            </w:pPr>
            <w:r>
              <w:rPr>
                <w:sz w:val="18"/>
              </w:rPr>
              <w:t xml:space="preserve">17. Jonsson M, Berglund E, Baldi E, Caputo ML, Auricchio A, Blom MT, Tan HL, Stieglis R, Andelius L, Folke F, Hollenberg J, Svensson L and Ringh M. Dispatch of Volunteer Responders to Out-of-Hospital Cardiac Arrests. J Am Coll Cardiol. 2023;82:200-210.</w:t>
            </w:r>
          </w:p>
          <w:p w14:paraId="02FB47E0" w14:textId="77777777" w:rsidR="0053025C" w:rsidRDefault="00DC51F6">
            <w:pPr>
              <w:spacing w:after="80"/>
            </w:pPr>
            <w:r>
              <w:rPr>
                <w:sz w:val="18"/>
              </w:rPr>
              <w:t xml:space="preserve">18. Kragh AR, Andelius L, Gregers MT, Kjølbye JS, Jørgensen AJ, Christensen AK, Zinckernagel L, Torp-Pedersen C, Folke F and Hansen CM. Immediate psychological impact on citizen responders dispatched through a mobile application to out-of-hospital cardiac arrests. Resusc Plus. 2021;7:100155.</w:t>
            </w:r>
          </w:p>
          <w:p w14:paraId="02FB47E0" w14:textId="77777777" w:rsidR="0053025C" w:rsidRDefault="00DC51F6">
            <w:pPr>
              <w:spacing w:after="80"/>
            </w:pPr>
            <w:r>
              <w:rPr>
                <w:sz w:val="18"/>
              </w:rPr>
              <w:t xml:space="preserve">19. Zijlstra JA, Beesems SG, De Haan RJ and Koster RW. Psychological impact on dispatched local lay rescuers performing bystander cardiopulmonary resuscitation. Resuscitation. 2015;92:115-21.</w:t>
            </w:r>
          </w:p>
          <w:p w14:paraId="02FB47E0" w14:textId="77777777" w:rsidR="0053025C" w:rsidRDefault="00DC51F6">
            <w:pPr>
              <w:spacing w:after="80"/>
            </w:pPr>
            <w:r>
              <w:rPr>
                <w:sz w:val="18"/>
              </w:rPr>
              <w:t xml:space="preserve">20. Dainty KN, Vaid H and Brooks SC. North American Public Opinion Survey on the Acceptability of Crowdsourcing Basic Life Support for Out-of-Hospital Cardiac Arrest With the PulsePoint Mobile Phone App. JMIR Mhealth Uhealth. 2017;5:e63.</w:t>
            </w:r>
          </w:p>
          <w:p w14:paraId="02FB47E0" w14:textId="77777777" w:rsidR="0053025C" w:rsidRDefault="00DC51F6">
            <w:pPr>
              <w:spacing w:after="80"/>
            </w:pPr>
            <w:r>
              <w:rPr>
                <w:sz w:val="18"/>
              </w:rPr>
              <w:t xml:space="preserve">21. Derkenne C, Jost D, Roquet F, Dardel P, Kedzierewicz R, Mignon A, Travers S, Frattini B, Prieux L, Rozenberg E, Demaison X, Gaudet J, de Charry F, Stibbe O, Briche F, Lemoine F, Lesaffre X, Maurin O, Gauyat E, Faraon E, Lemoine S and Prunet B. Mobile Smartphone Technology Is Associated With Out-of-hospital Cardiac Arrest Survival Improvement: The First Year "Greater Paris Fire Brigade" Experience. Acad Emerg Med. 2020;27:951-962.</w:t>
            </w:r>
          </w:p>
          <w:p w14:paraId="02FB47E0" w14:textId="77777777" w:rsidR="0053025C" w:rsidRDefault="00DC51F6">
            <w:pPr>
              <w:spacing w:after="80"/>
            </w:pPr>
            <w:r>
              <w:rPr>
                <w:sz w:val="18"/>
              </w:rPr>
              <w:t xml:space="preserve">22. Pugnale S, Galofaro L, Puricel SG, Garin D, Guechi Y, Cook S and Ribordy V. What is the effect of volunteer community responders network on out-of-hospital cardiac arrest outcomes in the Swiss canton of Fribourg? A five-year retrospective observational study. Resusc Plus. 2025;25:101009.</w:t>
            </w:r>
          </w:p>
          <w:p w14:paraId="02FB47E0" w14:textId="77777777" w:rsidR="0053025C" w:rsidRDefault="00DC51F6">
            <w:pPr>
              <w:spacing w:after="80"/>
            </w:pPr>
            <w:r>
              <w:rPr>
                <w:sz w:val="18"/>
              </w:rPr>
              <w:t xml:space="preserve">23. Andelius L, Malta Hansen C, Jonsson M, Gerds TA, Rajan S, Torp-Pedersen C, Claesson A, Lippert F, Tofte Gregers MC, Berglund E, Gislason GH, Køber L, Hollenberg J, Ringh M and Folke F. Smartphone-activated volunteer responders and bystander defibrillation for out-of-hospital cardiac arrest in private homes and public locations. Eur Heart J Acute Cardiovasc Care. 2023;12:87-95.</w:t>
            </w:r>
          </w:p>
          <w:p w14:paraId="02FB47E0" w14:textId="77777777" w:rsidR="0053025C" w:rsidRDefault="00DC51F6">
            <w:pPr>
              <w:spacing w:after="80"/>
            </w:pPr>
            <w:r>
              <w:rPr>
                <w:sz w:val="18"/>
              </w:rPr>
              <w:t xml:space="preserve">24. Zijlstra JA, Stieglis R, Riedijk F, Smeekes M, van der Worp WE and Koster RW. Local lay rescuers with AEDs, alerted by text messages, contribute to early defibrillation in a Dutch out-of-hospital cardiac arrest dispatch system. Resuscitation. 2014;85:1444-9.</w:t>
            </w:r>
          </w:p>
          <w:p w14:paraId="02FB47E0" w14:textId="77777777" w:rsidR="0053025C" w:rsidRDefault="00DC51F6">
            <w:pPr>
              <w:spacing w:after="80"/>
            </w:pPr>
            <w:r>
              <w:rPr>
                <w:sz w:val="18"/>
              </w:rPr>
              <w:t xml:space="preserve">25. Scquizzato T, Pallanch O, Belletti A, Frontera A, Cabrini L, Zangrillo A and Landoni G. Enhancing citizens response to out-of-hospital cardiac arrest: A systematic review of mobile-phone systems to alert citizens as first responders. Resuscitation. 2020;152:16-25.</w:t>
            </w:r>
          </w:p>
          <w:p w14:paraId="02FB47E0" w14:textId="77777777" w:rsidR="0053025C" w:rsidRDefault="00DC51F6">
            <w:pPr>
              <w:spacing w:after="80"/>
            </w:pPr>
            <w:r>
              <w:rPr>
                <w:sz w:val="18"/>
              </w:rPr>
              <w:t xml:space="preserve">26. Andrews JC, Schünemann HJ, Oxman AD, Pottie K, Meerpohl JJ, Coello PA, Rind D, Montori VM, Brito JP, Norris S, Elbarbary M, Post P, Nasser M, Shukla V, Jaeschke R, Brozek J, Djulbegovic B and Guyatt G. GRADE guidelines: 15. Going from evidence to recommendation-determinants of a recommendation's direction and strength. J Clin Epidemiol. 2013;66:726-35.</w:t>
            </w:r>
          </w:p>
        </w:tc>
      </w:tr>
    </w:tbl>
    <w:p w14:paraId="74538B34" w14:textId="77777777" w:rsidR="0053025C" w:rsidRDefault="0053025C">
      <w:pPr>
        <w:spacing w:line="20" w:lineRule="exact"/>
        <w:rPr>
          <w:sz w:val="2"/>
          <w:szCs w:val="2"/>
        </w:rPr>
      </w:pPr>
    </w:p>
    <w:sectPr w:rsidR="0053025C">
      <w:headerReference w:type="default" r:id="rId8"/>
      <w:footerReference w:type="default" r:id="rId9"/>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FAEAB9" w14:textId="77777777" w:rsidR="00DC51F6" w:rsidRDefault="00DC51F6">
      <w:r>
        <w:separator/>
      </w:r>
    </w:p>
  </w:endnote>
  <w:endnote w:type="continuationSeparator" w:id="0">
    <w:p w14:paraId="55A079A8" w14:textId="77777777" w:rsidR="00DC51F6" w:rsidRDefault="00DC5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Vrinda">
    <w:panose1 w:val="020B0502040204020203"/>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86FCCB" w14:textId="77777777" w:rsidR="0053025C" w:rsidRDefault="00DC51F6">
    <w:pPr>
      <w:tabs>
        <w:tab w:val="right" w:pos="14400"/>
      </w:tabs>
    </w:pPr>
    <w:r>
      <w:rPr>
        <w:rFonts w:ascii="Calibri" w:hAnsi="Calibri"/>
        <w:sz w:val="16"/>
      </w:rPr>
      <w:t xml:space="preserve">EIT 6302 Evidence-to-Decision table, DRAFT for SAC approval, revised 26 October 2026</w:t>
    </w:r>
    <w:proofErr w:type="spellStart"/>
    <w:r>
      <w:rPr>
        <w:rFonts w:ascii="Calibri" w:hAnsi="Calibri"/>
        <w:sz w:val="16"/>
      </w:rPr>
      <w:t xml:space="preserve"/>
    </w:r>
    <w:proofErr w:type="spellEnd"/>
    <w:r>
      <w:rPr>
        <w:rFonts w:ascii="Calibri" w:hAnsi="Calibri"/>
        <w:sz w:val="16"/>
      </w:rPr>
      <w:t xml:space="preserve"/>
    </w:r>
    <w:proofErr w:type="spellStart"/>
    <w:r>
      <w:rPr>
        <w:rFonts w:ascii="Calibri" w:hAnsi="Calibri"/>
        <w:sz w:val="16"/>
      </w:rPr>
      <w:t xml:space="preserve"/>
    </w:r>
    <w:proofErr w:type="spellEnd"/>
    <w:r>
      <w:rPr>
        <w:rFonts w:ascii="Calibri" w:hAnsi="Calibri"/>
        <w:sz w:val="16"/>
      </w:rPr>
      <w:t xml:space="preserve"/>
    </w:r>
    <w:proofErr w:type="spellStart"/>
    <w:r>
      <w:rPr>
        <w:rFonts w:ascii="Calibri" w:hAnsi="Calibri"/>
        <w:sz w:val="16"/>
      </w:rPr>
      <w:t xml:space="preserve"/>
    </w:r>
    <w:proofErr w:type="spellEnd"/>
    <w:r>
      <w:rPr>
        <w:rFonts w:ascii="Calibri" w:hAnsi="Calibri"/>
        <w:sz w:val="16"/>
      </w:rPr>
      <w:t xml:space="preserve"/>
    </w:r>
    <w:r>
      <w:rPr>
        <w:rFonts w:ascii="Calibri" w:hAnsi="Calibri"/>
        <w:sz w:val="16"/>
      </w:rPr>
      <w:tab/>
      <w:t xml:space="preserve">Page </w:t>
    </w:r>
    <w:r>
      <w:rPr>
        <w:rFonts w:ascii="Calibri" w:hAnsi="Calibri"/>
        <w:sz w:val="16"/>
      </w:rPr>
      <w:fldChar w:fldCharType="begin"/>
    </w:r>
    <w:r>
      <w:rPr>
        <w:rFonts w:ascii="Calibri" w:hAnsi="Calibri"/>
        <w:sz w:val="16"/>
      </w:rPr>
      <w:instrText xml:space="preserve"> PAGE </w:instrText>
    </w:r>
    <w:r>
      <w:rPr>
        <w:rFonts w:ascii="Calibri" w:hAnsi="Calibri"/>
        <w:sz w:val="16"/>
      </w:rPr>
      <w:fldChar w:fldCharType="separate"/>
    </w:r>
    <w:r>
      <w:rPr>
        <w:rFonts w:ascii="Calibri" w:hAnsi="Calibri"/>
        <w:sz w:val="16"/>
      </w:rPr>
      <w:t>1</w:t>
    </w:r>
    <w:r>
      <w:rPr>
        <w:rFonts w:ascii="Calibri" w:hAnsi="Calibri"/>
        <w:sz w:val="16"/>
      </w:rPr>
      <w:fldChar w:fldCharType="end"/>
    </w:r>
    <w:r>
      <w:rPr>
        <w:rFonts w:ascii="Calibri" w:hAnsi="Calibri"/>
        <w:sz w:val="16"/>
      </w:rPr>
      <w:t xml:space="preserve"> of </w:t>
    </w:r>
    <w:r>
      <w:rPr>
        <w:rFonts w:ascii="Calibri" w:hAnsi="Calibri"/>
        <w:sz w:val="16"/>
      </w:rPr>
      <w:fldChar w:fldCharType="begin"/>
    </w:r>
    <w:r>
      <w:rPr>
        <w:rFonts w:ascii="Calibri" w:hAnsi="Calibri"/>
        <w:sz w:val="16"/>
      </w:rPr>
      <w:instrText xml:space="preserve"> NUMPAGES </w:instrText>
    </w:r>
    <w:r>
      <w:rPr>
        <w:rFonts w:ascii="Calibri" w:hAnsi="Calibri"/>
        <w:sz w:val="16"/>
      </w:rPr>
      <w:fldChar w:fldCharType="separate"/>
    </w:r>
    <w:r>
      <w:rPr>
        <w:rFonts w:ascii="Calibri" w:hAnsi="Calibri"/>
        <w:sz w:val="16"/>
      </w:rPr>
      <w:t>1</w:t>
    </w:r>
    <w:r>
      <w:rPr>
        <w:rFonts w:ascii="Calibri" w:hAnsi="Calibr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E13087" w14:textId="77777777" w:rsidR="00DC51F6" w:rsidRDefault="00DC51F6">
      <w:r>
        <w:separator/>
      </w:r>
    </w:p>
  </w:footnote>
  <w:footnote w:type="continuationSeparator" w:id="0">
    <w:p w14:paraId="6159C0A1" w14:textId="77777777" w:rsidR="00DC51F6" w:rsidRDefault="00DC5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367C8" w14:textId="77777777" w:rsidR="0053025C" w:rsidRDefault="005302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F01D1"/>
    <w:multiLevelType w:val="hybridMultilevel"/>
    <w:tmpl w:val="A058C6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E951A61"/>
    <w:multiLevelType w:val="hybridMultilevel"/>
    <w:tmpl w:val="78AAB12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411776275">
    <w:abstractNumId w:val="0"/>
  </w:num>
  <w:num w:numId="2" w16cid:durableId="114354200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bordersDoNotSurroundHeader/>
  <w:bordersDoNotSurroundFooter/>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ez0sf5c9aasheff22p52vuwfzfsxaae0ps&quot;&gt;Evidence Table (10+5+27)&lt;record-ids&gt;&lt;item&gt;1&lt;/item&gt;&lt;item&gt;2&lt;/item&gt;&lt;item&gt;4&lt;/item&gt;&lt;item&gt;5&lt;/item&gt;&lt;item&gt;7&lt;/item&gt;&lt;item&gt;10&lt;/item&gt;&lt;item&gt;11&lt;/item&gt;&lt;item&gt;12&lt;/item&gt;&lt;item&gt;13&lt;/item&gt;&lt;item&gt;14&lt;/item&gt;&lt;item&gt;15&lt;/item&gt;&lt;item&gt;16&lt;/item&gt;&lt;item&gt;17&lt;/item&gt;&lt;item&gt;18&lt;/item&gt;&lt;item&gt;19&lt;/item&gt;&lt;item&gt;20&lt;/item&gt;&lt;item&gt;21&lt;/item&gt;&lt;item&gt;22&lt;/item&gt;&lt;item&gt;23&lt;/item&gt;&lt;item&gt;25&lt;/item&gt;&lt;item&gt;26&lt;/item&gt;&lt;item&gt;27&lt;/item&gt;&lt;item&gt;28&lt;/item&gt;&lt;item&gt;29&lt;/item&gt;&lt;item&gt;30&lt;/item&gt;&lt;item&gt;31&lt;/item&gt;&lt;item&gt;32&lt;/item&gt;&lt;item&gt;33&lt;/item&gt;&lt;item&gt;34&lt;/item&gt;&lt;item&gt;35&lt;/item&gt;&lt;item&gt;36&lt;/item&gt;&lt;item&gt;37&lt;/item&gt;&lt;item&gt;38&lt;/item&gt;&lt;item&gt;40&lt;/item&gt;&lt;item&gt;41&lt;/item&gt;&lt;item&gt;42&lt;/item&gt;&lt;/record-ids&gt;&lt;/item&gt;&lt;/Libraries&gt;"/>
  </w:docVars>
  <w:rsids>
    <w:rsidRoot w:val="006F444F"/>
    <w:rsid w:val="00050FC0"/>
    <w:rsid w:val="00062A47"/>
    <w:rsid w:val="000B49E6"/>
    <w:rsid w:val="000E3E58"/>
    <w:rsid w:val="001E0F0C"/>
    <w:rsid w:val="001E13D7"/>
    <w:rsid w:val="00217559"/>
    <w:rsid w:val="00250B02"/>
    <w:rsid w:val="002C7C13"/>
    <w:rsid w:val="002D4378"/>
    <w:rsid w:val="00304B42"/>
    <w:rsid w:val="00327F28"/>
    <w:rsid w:val="0033238D"/>
    <w:rsid w:val="004217B3"/>
    <w:rsid w:val="0044753D"/>
    <w:rsid w:val="0047433F"/>
    <w:rsid w:val="004B5C7C"/>
    <w:rsid w:val="004C6CD1"/>
    <w:rsid w:val="004D070B"/>
    <w:rsid w:val="004D6C27"/>
    <w:rsid w:val="004E6F01"/>
    <w:rsid w:val="0053025C"/>
    <w:rsid w:val="005470B7"/>
    <w:rsid w:val="005D2943"/>
    <w:rsid w:val="005E4009"/>
    <w:rsid w:val="006515CF"/>
    <w:rsid w:val="00694538"/>
    <w:rsid w:val="006B0DAD"/>
    <w:rsid w:val="006F444F"/>
    <w:rsid w:val="007110D5"/>
    <w:rsid w:val="0071794D"/>
    <w:rsid w:val="007304B9"/>
    <w:rsid w:val="007B5B40"/>
    <w:rsid w:val="007B6B83"/>
    <w:rsid w:val="007E576B"/>
    <w:rsid w:val="007F774E"/>
    <w:rsid w:val="0080525F"/>
    <w:rsid w:val="008826FD"/>
    <w:rsid w:val="008A43FC"/>
    <w:rsid w:val="008C1A1D"/>
    <w:rsid w:val="008F6AEA"/>
    <w:rsid w:val="008F7F45"/>
    <w:rsid w:val="0096075F"/>
    <w:rsid w:val="00962916"/>
    <w:rsid w:val="009832E0"/>
    <w:rsid w:val="00AB23ED"/>
    <w:rsid w:val="00B02D58"/>
    <w:rsid w:val="00B11735"/>
    <w:rsid w:val="00B212F0"/>
    <w:rsid w:val="00B84697"/>
    <w:rsid w:val="00B909BD"/>
    <w:rsid w:val="00C12A9A"/>
    <w:rsid w:val="00C242B8"/>
    <w:rsid w:val="00C4077B"/>
    <w:rsid w:val="00C50F12"/>
    <w:rsid w:val="00CB2D45"/>
    <w:rsid w:val="00D06B49"/>
    <w:rsid w:val="00D47B25"/>
    <w:rsid w:val="00D77FDB"/>
    <w:rsid w:val="00D87785"/>
    <w:rsid w:val="00D92784"/>
    <w:rsid w:val="00DB003D"/>
    <w:rsid w:val="00DB623F"/>
    <w:rsid w:val="00DC51F6"/>
    <w:rsid w:val="00DE0E06"/>
    <w:rsid w:val="00DF78D1"/>
    <w:rsid w:val="00E01DDE"/>
    <w:rsid w:val="00E04C48"/>
    <w:rsid w:val="00E301DF"/>
    <w:rsid w:val="00E619D1"/>
    <w:rsid w:val="00E70387"/>
    <w:rsid w:val="00E8083A"/>
    <w:rsid w:val="00EA0304"/>
    <w:rsid w:val="00EB6F96"/>
    <w:rsid w:val="00EC25F9"/>
    <w:rsid w:val="00EE4FEC"/>
    <w:rsid w:val="00F11C64"/>
    <w:rsid w:val="00F55A71"/>
    <w:rsid w:val="00F61826"/>
    <w:rsid w:val="00F91CF7"/>
  </w:rsids>
  <m:mathPr>
    <m:mathFont m:val="Cambria Math"/>
    <m:brkBin m:val="before"/>
    <m:brkBinSub m:val="--"/>
    <m:smallFrac m:val="0"/>
    <m:dispDef/>
    <m:lMargin m:val="0"/>
    <m:rMargin m:val="0"/>
    <m:defJc m:val="centerGroup"/>
    <m:wrapIndent m:val="1440"/>
    <m:intLim m:val="subSup"/>
    <m:naryLim m:val="undOvr"/>
  </m:mathPr>
  <w:themeFontLang w:val="it-IT" w:eastAsia="zh-TW"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723D"/>
  <w15:docId w15:val="{AA5505EA-0214-C444-91C0-A23E86E64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hAnsi="Times New Roman" w:cs="Times New Roman"/>
      <w:b/>
      <w:bCs/>
      <w:sz w:val="36"/>
      <w:szCs w:val="36"/>
    </w:rPr>
  </w:style>
  <w:style w:type="paragraph" w:styleId="NormalWeb">
    <w:name w:val="Normal (Web)"/>
    <w:basedOn w:val="Normal"/>
    <w:uiPriority w:val="99"/>
    <w:semiHidden/>
    <w:unhideWhenUsed/>
    <w:pPr>
      <w:spacing w:before="100" w:beforeAutospacing="1" w:after="100" w:afterAutospacing="1"/>
    </w:pPr>
    <w:rPr>
      <w:rFonts w:ascii="Times New Roman" w:hAnsi="Times New Roman" w:cs="Times New Roman"/>
    </w:rPr>
  </w:style>
  <w:style w:type="paragraph" w:customStyle="1" w:styleId="section-name">
    <w:name w:val="section-name"/>
    <w:basedOn w:val="Normal"/>
    <w:pPr>
      <w:spacing w:before="100" w:beforeAutospacing="1" w:after="100" w:afterAutospacing="1"/>
    </w:pPr>
    <w:rPr>
      <w:rFonts w:ascii="Times New Roman" w:hAnsi="Times New Roman" w:cs="Times New Roman"/>
    </w:rPr>
  </w:style>
  <w:style w:type="paragraph" w:customStyle="1" w:styleId="Sottotitolo1">
    <w:name w:val="Sottotitolo1"/>
    <w:basedOn w:val="Normal"/>
    <w:pPr>
      <w:spacing w:before="100" w:beforeAutospacing="1" w:after="100" w:afterAutospacing="1"/>
    </w:pPr>
    <w:rPr>
      <w:rFonts w:ascii="Times New Roman" w:hAnsi="Times New Roman" w:cs="Times New Roman"/>
    </w:rPr>
  </w:style>
  <w:style w:type="character" w:customStyle="1" w:styleId="unchecked-marker">
    <w:name w:val="unchecked-marker"/>
    <w:basedOn w:val="DefaultParagraphFont"/>
  </w:style>
  <w:style w:type="character" w:customStyle="1" w:styleId="ep-radiobuttonlabel">
    <w:name w:val="ep-radiobutton__label"/>
    <w:basedOn w:val="DefaultParagraphFont"/>
  </w:style>
  <w:style w:type="character" w:customStyle="1" w:styleId="checked-marker">
    <w:name w:val="checked-marker"/>
    <w:basedOn w:val="DefaultParagraphFont"/>
  </w:style>
  <w:style w:type="paragraph" w:customStyle="1" w:styleId="marker">
    <w:name w:val="marker"/>
    <w:basedOn w:val="Normal"/>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EE4FEC"/>
    <w:pPr>
      <w:ind w:left="720"/>
      <w:contextualSpacing/>
    </w:pPr>
    <w:rPr>
      <w:rFonts w:ascii="Calibri" w:eastAsiaTheme="minorHAnsi" w:hAnsi="Calibri" w:cs="Calibri"/>
      <w:lang w:val="en-US" w:eastAsia="en-US"/>
    </w:rPr>
  </w:style>
  <w:style w:type="paragraph" w:styleId="BalloonText">
    <w:name w:val="Balloon Text"/>
    <w:basedOn w:val="Normal"/>
    <w:link w:val="BalloonTextChar"/>
    <w:uiPriority w:val="99"/>
    <w:semiHidden/>
    <w:unhideWhenUsed/>
    <w:rsid w:val="00050F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FC0"/>
    <w:rPr>
      <w:rFonts w:ascii="Segoe UI" w:hAnsi="Segoe UI" w:cs="Segoe UI"/>
      <w:sz w:val="18"/>
      <w:szCs w:val="18"/>
    </w:rPr>
  </w:style>
  <w:style w:type="character" w:styleId="CommentReference">
    <w:name w:val="annotation reference"/>
    <w:basedOn w:val="DefaultParagraphFont"/>
    <w:uiPriority w:val="99"/>
    <w:semiHidden/>
    <w:unhideWhenUsed/>
    <w:rsid w:val="00E04C48"/>
    <w:rPr>
      <w:sz w:val="16"/>
      <w:szCs w:val="16"/>
    </w:rPr>
  </w:style>
  <w:style w:type="paragraph" w:styleId="CommentText">
    <w:name w:val="annotation text"/>
    <w:basedOn w:val="Normal"/>
    <w:link w:val="CommentTextChar"/>
    <w:uiPriority w:val="99"/>
    <w:semiHidden/>
    <w:unhideWhenUsed/>
    <w:rsid w:val="00E04C48"/>
    <w:rPr>
      <w:sz w:val="20"/>
      <w:szCs w:val="20"/>
    </w:rPr>
  </w:style>
  <w:style w:type="character" w:customStyle="1" w:styleId="CommentTextChar">
    <w:name w:val="Comment Text Char"/>
    <w:basedOn w:val="DefaultParagraphFont"/>
    <w:link w:val="CommentText"/>
    <w:uiPriority w:val="99"/>
    <w:semiHidden/>
    <w:rsid w:val="00E04C48"/>
    <w:rPr>
      <w:sz w:val="20"/>
      <w:szCs w:val="20"/>
    </w:rPr>
  </w:style>
  <w:style w:type="paragraph" w:styleId="CommentSubject">
    <w:name w:val="annotation subject"/>
    <w:basedOn w:val="CommentText"/>
    <w:next w:val="CommentText"/>
    <w:link w:val="CommentSubjectChar"/>
    <w:uiPriority w:val="99"/>
    <w:semiHidden/>
    <w:unhideWhenUsed/>
    <w:rsid w:val="00E04C48"/>
    <w:rPr>
      <w:b/>
      <w:bCs/>
    </w:rPr>
  </w:style>
  <w:style w:type="character" w:customStyle="1" w:styleId="CommentSubjectChar">
    <w:name w:val="Comment Subject Char"/>
    <w:basedOn w:val="CommentTextChar"/>
    <w:link w:val="CommentSubject"/>
    <w:uiPriority w:val="99"/>
    <w:semiHidden/>
    <w:rsid w:val="00E04C48"/>
    <w:rPr>
      <w:b/>
      <w:bCs/>
      <w:sz w:val="20"/>
      <w:szCs w:val="20"/>
    </w:rPr>
  </w:style>
  <w:style w:type="paragraph" w:styleId="Revision">
    <w:name w:val="Revision"/>
    <w:hidden/>
    <w:uiPriority w:val="99"/>
    <w:semiHidden/>
    <w:rsid w:val="0096075F"/>
  </w:style>
  <w:style w:type="paragraph" w:customStyle="1" w:styleId="EndNoteBibliographyTitle">
    <w:name w:val="EndNote Bibliography Title"/>
    <w:basedOn w:val="Normal"/>
    <w:link w:val="EndNoteBibliographyTitle0"/>
    <w:rsid w:val="001E13D7"/>
    <w:pPr>
      <w:jc w:val="center"/>
    </w:pPr>
    <w:rPr>
      <w:rFonts w:ascii="Calibri" w:hAnsi="Calibri" w:cs="Calibri"/>
    </w:rPr>
  </w:style>
  <w:style w:type="character" w:customStyle="1" w:styleId="EndNoteBibliographyTitle0">
    <w:name w:val="EndNote Bibliography Title 字元"/>
    <w:basedOn w:val="DefaultParagraphFont"/>
    <w:link w:val="EndNoteBibliographyTitle"/>
    <w:rsid w:val="001E13D7"/>
    <w:rPr>
      <w:rFonts w:ascii="Calibri" w:hAnsi="Calibri" w:cs="Calibri"/>
    </w:rPr>
  </w:style>
  <w:style w:type="paragraph" w:customStyle="1" w:styleId="EndNoteBibliography">
    <w:name w:val="EndNote Bibliography"/>
    <w:basedOn w:val="Normal"/>
    <w:link w:val="EndNoteBibliography0"/>
    <w:rsid w:val="001E13D7"/>
    <w:rPr>
      <w:rFonts w:ascii="Calibri" w:hAnsi="Calibri" w:cs="Calibri"/>
    </w:rPr>
  </w:style>
  <w:style w:type="character" w:customStyle="1" w:styleId="EndNoteBibliography0">
    <w:name w:val="EndNote Bibliography 字元"/>
    <w:basedOn w:val="DefaultParagraphFont"/>
    <w:link w:val="EndNoteBibliography"/>
    <w:rsid w:val="001E13D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8947089">
      <w:marLeft w:val="0"/>
      <w:marRight w:val="0"/>
      <w:marTop w:val="0"/>
      <w:marBottom w:val="0"/>
      <w:divBdr>
        <w:top w:val="none" w:sz="0" w:space="0" w:color="auto"/>
        <w:left w:val="none" w:sz="0" w:space="0" w:color="auto"/>
        <w:bottom w:val="none" w:sz="0" w:space="0" w:color="auto"/>
        <w:right w:val="none" w:sz="0" w:space="0" w:color="auto"/>
      </w:divBdr>
      <w:divsChild>
        <w:div w:id="55394877">
          <w:marLeft w:val="0"/>
          <w:marRight w:val="0"/>
          <w:marTop w:val="0"/>
          <w:marBottom w:val="0"/>
          <w:divBdr>
            <w:top w:val="none" w:sz="0" w:space="0" w:color="auto"/>
            <w:left w:val="none" w:sz="0" w:space="0" w:color="auto"/>
            <w:bottom w:val="none" w:sz="0" w:space="0" w:color="auto"/>
            <w:right w:val="none" w:sz="0" w:space="0" w:color="auto"/>
          </w:divBdr>
          <w:divsChild>
            <w:div w:id="164438799">
              <w:marLeft w:val="0"/>
              <w:marRight w:val="0"/>
              <w:marTop w:val="0"/>
              <w:marBottom w:val="0"/>
              <w:divBdr>
                <w:top w:val="none" w:sz="0" w:space="0" w:color="auto"/>
                <w:left w:val="none" w:sz="0" w:space="0" w:color="auto"/>
                <w:bottom w:val="none" w:sz="0" w:space="0" w:color="auto"/>
                <w:right w:val="none" w:sz="0" w:space="0" w:color="auto"/>
              </w:divBdr>
              <w:divsChild>
                <w:div w:id="1523936527">
                  <w:marLeft w:val="0"/>
                  <w:marRight w:val="0"/>
                  <w:marTop w:val="0"/>
                  <w:marBottom w:val="0"/>
                  <w:divBdr>
                    <w:top w:val="none" w:sz="0" w:space="0" w:color="auto"/>
                    <w:left w:val="none" w:sz="0" w:space="0" w:color="auto"/>
                    <w:bottom w:val="none" w:sz="0" w:space="0" w:color="auto"/>
                    <w:right w:val="none" w:sz="0" w:space="0" w:color="auto"/>
                  </w:divBdr>
                </w:div>
              </w:divsChild>
            </w:div>
            <w:div w:id="50546937">
              <w:marLeft w:val="0"/>
              <w:marRight w:val="0"/>
              <w:marTop w:val="0"/>
              <w:marBottom w:val="0"/>
              <w:divBdr>
                <w:top w:val="none" w:sz="0" w:space="0" w:color="auto"/>
                <w:left w:val="none" w:sz="0" w:space="0" w:color="auto"/>
                <w:bottom w:val="none" w:sz="0" w:space="0" w:color="auto"/>
                <w:right w:val="none" w:sz="0" w:space="0" w:color="auto"/>
              </w:divBdr>
              <w:divsChild>
                <w:div w:id="1581481219">
                  <w:marLeft w:val="0"/>
                  <w:marRight w:val="0"/>
                  <w:marTop w:val="0"/>
                  <w:marBottom w:val="0"/>
                  <w:divBdr>
                    <w:top w:val="none" w:sz="0" w:space="0" w:color="auto"/>
                    <w:left w:val="none" w:sz="0" w:space="0" w:color="auto"/>
                    <w:bottom w:val="none" w:sz="0" w:space="0" w:color="auto"/>
                    <w:right w:val="none" w:sz="0" w:space="0" w:color="auto"/>
                  </w:divBdr>
                  <w:divsChild>
                    <w:div w:id="1131899364">
                      <w:marLeft w:val="0"/>
                      <w:marRight w:val="0"/>
                      <w:marTop w:val="0"/>
                      <w:marBottom w:val="0"/>
                      <w:divBdr>
                        <w:top w:val="none" w:sz="0" w:space="0" w:color="auto"/>
                        <w:left w:val="none" w:sz="0" w:space="0" w:color="auto"/>
                        <w:bottom w:val="none" w:sz="0" w:space="0" w:color="auto"/>
                        <w:right w:val="none" w:sz="0" w:space="0" w:color="auto"/>
                      </w:divBdr>
                      <w:divsChild>
                        <w:div w:id="1139034528">
                          <w:marLeft w:val="0"/>
                          <w:marRight w:val="0"/>
                          <w:marTop w:val="0"/>
                          <w:marBottom w:val="0"/>
                          <w:divBdr>
                            <w:top w:val="none" w:sz="0" w:space="0" w:color="auto"/>
                            <w:left w:val="none" w:sz="0" w:space="0" w:color="auto"/>
                            <w:bottom w:val="none" w:sz="0" w:space="0" w:color="auto"/>
                            <w:right w:val="none" w:sz="0" w:space="0" w:color="auto"/>
                          </w:divBdr>
                          <w:divsChild>
                            <w:div w:id="1038048771">
                              <w:marLeft w:val="0"/>
                              <w:marRight w:val="0"/>
                              <w:marTop w:val="0"/>
                              <w:marBottom w:val="0"/>
                              <w:divBdr>
                                <w:top w:val="none" w:sz="0" w:space="0" w:color="auto"/>
                                <w:left w:val="none" w:sz="0" w:space="0" w:color="auto"/>
                                <w:bottom w:val="none" w:sz="0" w:space="0" w:color="auto"/>
                                <w:right w:val="none" w:sz="0" w:space="0" w:color="auto"/>
                              </w:divBdr>
                              <w:divsChild>
                                <w:div w:id="33037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2311">
                          <w:marLeft w:val="0"/>
                          <w:marRight w:val="0"/>
                          <w:marTop w:val="0"/>
                          <w:marBottom w:val="0"/>
                          <w:divBdr>
                            <w:top w:val="none" w:sz="0" w:space="0" w:color="auto"/>
                            <w:left w:val="none" w:sz="0" w:space="0" w:color="auto"/>
                            <w:bottom w:val="none" w:sz="0" w:space="0" w:color="auto"/>
                            <w:right w:val="none" w:sz="0" w:space="0" w:color="auto"/>
                          </w:divBdr>
                          <w:divsChild>
                            <w:div w:id="298074053">
                              <w:marLeft w:val="0"/>
                              <w:marRight w:val="0"/>
                              <w:marTop w:val="0"/>
                              <w:marBottom w:val="0"/>
                              <w:divBdr>
                                <w:top w:val="none" w:sz="0" w:space="0" w:color="auto"/>
                                <w:left w:val="none" w:sz="0" w:space="0" w:color="auto"/>
                                <w:bottom w:val="none" w:sz="0" w:space="0" w:color="auto"/>
                                <w:right w:val="none" w:sz="0" w:space="0" w:color="auto"/>
                              </w:divBdr>
                              <w:divsChild>
                                <w:div w:id="38649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237532">
                          <w:marLeft w:val="0"/>
                          <w:marRight w:val="0"/>
                          <w:marTop w:val="0"/>
                          <w:marBottom w:val="0"/>
                          <w:divBdr>
                            <w:top w:val="none" w:sz="0" w:space="0" w:color="auto"/>
                            <w:left w:val="none" w:sz="0" w:space="0" w:color="auto"/>
                            <w:bottom w:val="none" w:sz="0" w:space="0" w:color="auto"/>
                            <w:right w:val="none" w:sz="0" w:space="0" w:color="auto"/>
                          </w:divBdr>
                          <w:divsChild>
                            <w:div w:id="867908057">
                              <w:marLeft w:val="0"/>
                              <w:marRight w:val="0"/>
                              <w:marTop w:val="0"/>
                              <w:marBottom w:val="0"/>
                              <w:divBdr>
                                <w:top w:val="none" w:sz="0" w:space="0" w:color="auto"/>
                                <w:left w:val="none" w:sz="0" w:space="0" w:color="auto"/>
                                <w:bottom w:val="none" w:sz="0" w:space="0" w:color="auto"/>
                                <w:right w:val="none" w:sz="0" w:space="0" w:color="auto"/>
                              </w:divBdr>
                              <w:divsChild>
                                <w:div w:id="184373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354302">
                          <w:marLeft w:val="0"/>
                          <w:marRight w:val="0"/>
                          <w:marTop w:val="0"/>
                          <w:marBottom w:val="0"/>
                          <w:divBdr>
                            <w:top w:val="none" w:sz="0" w:space="0" w:color="auto"/>
                            <w:left w:val="none" w:sz="0" w:space="0" w:color="auto"/>
                            <w:bottom w:val="none" w:sz="0" w:space="0" w:color="auto"/>
                            <w:right w:val="none" w:sz="0" w:space="0" w:color="auto"/>
                          </w:divBdr>
                          <w:divsChild>
                            <w:div w:id="118184829">
                              <w:marLeft w:val="0"/>
                              <w:marRight w:val="0"/>
                              <w:marTop w:val="0"/>
                              <w:marBottom w:val="0"/>
                              <w:divBdr>
                                <w:top w:val="none" w:sz="0" w:space="0" w:color="auto"/>
                                <w:left w:val="none" w:sz="0" w:space="0" w:color="auto"/>
                                <w:bottom w:val="none" w:sz="0" w:space="0" w:color="auto"/>
                                <w:right w:val="none" w:sz="0" w:space="0" w:color="auto"/>
                              </w:divBdr>
                              <w:divsChild>
                                <w:div w:id="3416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6917">
                          <w:marLeft w:val="0"/>
                          <w:marRight w:val="0"/>
                          <w:marTop w:val="0"/>
                          <w:marBottom w:val="0"/>
                          <w:divBdr>
                            <w:top w:val="none" w:sz="0" w:space="0" w:color="auto"/>
                            <w:left w:val="none" w:sz="0" w:space="0" w:color="auto"/>
                            <w:bottom w:val="none" w:sz="0" w:space="0" w:color="auto"/>
                            <w:right w:val="none" w:sz="0" w:space="0" w:color="auto"/>
                          </w:divBdr>
                          <w:divsChild>
                            <w:div w:id="974681547">
                              <w:marLeft w:val="0"/>
                              <w:marRight w:val="0"/>
                              <w:marTop w:val="0"/>
                              <w:marBottom w:val="0"/>
                              <w:divBdr>
                                <w:top w:val="none" w:sz="0" w:space="0" w:color="auto"/>
                                <w:left w:val="none" w:sz="0" w:space="0" w:color="auto"/>
                                <w:bottom w:val="none" w:sz="0" w:space="0" w:color="auto"/>
                                <w:right w:val="none" w:sz="0" w:space="0" w:color="auto"/>
                              </w:divBdr>
                              <w:divsChild>
                                <w:div w:id="16901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5929">
                          <w:marLeft w:val="0"/>
                          <w:marRight w:val="0"/>
                          <w:marTop w:val="0"/>
                          <w:marBottom w:val="0"/>
                          <w:divBdr>
                            <w:top w:val="none" w:sz="0" w:space="0" w:color="auto"/>
                            <w:left w:val="none" w:sz="0" w:space="0" w:color="auto"/>
                            <w:bottom w:val="none" w:sz="0" w:space="0" w:color="auto"/>
                            <w:right w:val="none" w:sz="0" w:space="0" w:color="auto"/>
                          </w:divBdr>
                          <w:divsChild>
                            <w:div w:id="834764275">
                              <w:marLeft w:val="0"/>
                              <w:marRight w:val="0"/>
                              <w:marTop w:val="0"/>
                              <w:marBottom w:val="0"/>
                              <w:divBdr>
                                <w:top w:val="none" w:sz="0" w:space="0" w:color="auto"/>
                                <w:left w:val="none" w:sz="0" w:space="0" w:color="auto"/>
                                <w:bottom w:val="none" w:sz="0" w:space="0" w:color="auto"/>
                                <w:right w:val="none" w:sz="0" w:space="0" w:color="auto"/>
                              </w:divBdr>
                              <w:divsChild>
                                <w:div w:id="61448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0459">
                          <w:marLeft w:val="0"/>
                          <w:marRight w:val="0"/>
                          <w:marTop w:val="0"/>
                          <w:marBottom w:val="0"/>
                          <w:divBdr>
                            <w:top w:val="none" w:sz="0" w:space="0" w:color="auto"/>
                            <w:left w:val="none" w:sz="0" w:space="0" w:color="auto"/>
                            <w:bottom w:val="none" w:sz="0" w:space="0" w:color="auto"/>
                            <w:right w:val="none" w:sz="0" w:space="0" w:color="auto"/>
                          </w:divBdr>
                          <w:divsChild>
                            <w:div w:id="540751489">
                              <w:marLeft w:val="0"/>
                              <w:marRight w:val="0"/>
                              <w:marTop w:val="0"/>
                              <w:marBottom w:val="0"/>
                              <w:divBdr>
                                <w:top w:val="none" w:sz="0" w:space="0" w:color="auto"/>
                                <w:left w:val="none" w:sz="0" w:space="0" w:color="auto"/>
                                <w:bottom w:val="none" w:sz="0" w:space="0" w:color="auto"/>
                                <w:right w:val="none" w:sz="0" w:space="0" w:color="auto"/>
                              </w:divBdr>
                              <w:divsChild>
                                <w:div w:id="154999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47842">
                          <w:marLeft w:val="0"/>
                          <w:marRight w:val="0"/>
                          <w:marTop w:val="0"/>
                          <w:marBottom w:val="0"/>
                          <w:divBdr>
                            <w:top w:val="none" w:sz="0" w:space="0" w:color="auto"/>
                            <w:left w:val="none" w:sz="0" w:space="0" w:color="auto"/>
                            <w:bottom w:val="none" w:sz="0" w:space="0" w:color="auto"/>
                            <w:right w:val="none" w:sz="0" w:space="0" w:color="auto"/>
                          </w:divBdr>
                          <w:divsChild>
                            <w:div w:id="819270307">
                              <w:marLeft w:val="0"/>
                              <w:marRight w:val="0"/>
                              <w:marTop w:val="0"/>
                              <w:marBottom w:val="0"/>
                              <w:divBdr>
                                <w:top w:val="none" w:sz="0" w:space="0" w:color="auto"/>
                                <w:left w:val="none" w:sz="0" w:space="0" w:color="auto"/>
                                <w:bottom w:val="none" w:sz="0" w:space="0" w:color="auto"/>
                                <w:right w:val="none" w:sz="0" w:space="0" w:color="auto"/>
                              </w:divBdr>
                              <w:divsChild>
                                <w:div w:id="201622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18213">
                          <w:marLeft w:val="0"/>
                          <w:marRight w:val="0"/>
                          <w:marTop w:val="0"/>
                          <w:marBottom w:val="0"/>
                          <w:divBdr>
                            <w:top w:val="none" w:sz="0" w:space="0" w:color="auto"/>
                            <w:left w:val="none" w:sz="0" w:space="0" w:color="auto"/>
                            <w:bottom w:val="none" w:sz="0" w:space="0" w:color="auto"/>
                            <w:right w:val="none" w:sz="0" w:space="0" w:color="auto"/>
                          </w:divBdr>
                          <w:divsChild>
                            <w:div w:id="1502433433">
                              <w:marLeft w:val="0"/>
                              <w:marRight w:val="0"/>
                              <w:marTop w:val="0"/>
                              <w:marBottom w:val="0"/>
                              <w:divBdr>
                                <w:top w:val="none" w:sz="0" w:space="0" w:color="auto"/>
                                <w:left w:val="none" w:sz="0" w:space="0" w:color="auto"/>
                                <w:bottom w:val="none" w:sz="0" w:space="0" w:color="auto"/>
                                <w:right w:val="none" w:sz="0" w:space="0" w:color="auto"/>
                              </w:divBdr>
                              <w:divsChild>
                                <w:div w:id="181817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531519">
                          <w:marLeft w:val="0"/>
                          <w:marRight w:val="0"/>
                          <w:marTop w:val="0"/>
                          <w:marBottom w:val="0"/>
                          <w:divBdr>
                            <w:top w:val="none" w:sz="0" w:space="0" w:color="auto"/>
                            <w:left w:val="none" w:sz="0" w:space="0" w:color="auto"/>
                            <w:bottom w:val="none" w:sz="0" w:space="0" w:color="auto"/>
                            <w:right w:val="none" w:sz="0" w:space="0" w:color="auto"/>
                          </w:divBdr>
                          <w:divsChild>
                            <w:div w:id="1576552754">
                              <w:marLeft w:val="0"/>
                              <w:marRight w:val="0"/>
                              <w:marTop w:val="0"/>
                              <w:marBottom w:val="0"/>
                              <w:divBdr>
                                <w:top w:val="none" w:sz="0" w:space="0" w:color="auto"/>
                                <w:left w:val="none" w:sz="0" w:space="0" w:color="auto"/>
                                <w:bottom w:val="none" w:sz="0" w:space="0" w:color="auto"/>
                                <w:right w:val="none" w:sz="0" w:space="0" w:color="auto"/>
                              </w:divBdr>
                              <w:divsChild>
                                <w:div w:id="71369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7545">
                          <w:marLeft w:val="0"/>
                          <w:marRight w:val="0"/>
                          <w:marTop w:val="0"/>
                          <w:marBottom w:val="0"/>
                          <w:divBdr>
                            <w:top w:val="none" w:sz="0" w:space="0" w:color="auto"/>
                            <w:left w:val="none" w:sz="0" w:space="0" w:color="auto"/>
                            <w:bottom w:val="none" w:sz="0" w:space="0" w:color="auto"/>
                            <w:right w:val="none" w:sz="0" w:space="0" w:color="auto"/>
                          </w:divBdr>
                          <w:divsChild>
                            <w:div w:id="264925235">
                              <w:marLeft w:val="0"/>
                              <w:marRight w:val="0"/>
                              <w:marTop w:val="0"/>
                              <w:marBottom w:val="0"/>
                              <w:divBdr>
                                <w:top w:val="none" w:sz="0" w:space="0" w:color="auto"/>
                                <w:left w:val="none" w:sz="0" w:space="0" w:color="auto"/>
                                <w:bottom w:val="none" w:sz="0" w:space="0" w:color="auto"/>
                                <w:right w:val="none" w:sz="0" w:space="0" w:color="auto"/>
                              </w:divBdr>
                              <w:divsChild>
                                <w:div w:id="10328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03341">
                          <w:marLeft w:val="0"/>
                          <w:marRight w:val="0"/>
                          <w:marTop w:val="0"/>
                          <w:marBottom w:val="0"/>
                          <w:divBdr>
                            <w:top w:val="none" w:sz="0" w:space="0" w:color="auto"/>
                            <w:left w:val="none" w:sz="0" w:space="0" w:color="auto"/>
                            <w:bottom w:val="none" w:sz="0" w:space="0" w:color="auto"/>
                            <w:right w:val="none" w:sz="0" w:space="0" w:color="auto"/>
                          </w:divBdr>
                          <w:divsChild>
                            <w:div w:id="442265830">
                              <w:marLeft w:val="0"/>
                              <w:marRight w:val="0"/>
                              <w:marTop w:val="0"/>
                              <w:marBottom w:val="0"/>
                              <w:divBdr>
                                <w:top w:val="none" w:sz="0" w:space="0" w:color="auto"/>
                                <w:left w:val="none" w:sz="0" w:space="0" w:color="auto"/>
                                <w:bottom w:val="none" w:sz="0" w:space="0" w:color="auto"/>
                                <w:right w:val="none" w:sz="0" w:space="0" w:color="auto"/>
                              </w:divBdr>
                              <w:divsChild>
                                <w:div w:id="552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0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1A4F5-91A1-4751-981C-5602B836D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9</Pages>
  <Words>3684</Words>
  <Characters>21000</Characters>
  <Application>Microsoft Office Word</Application>
  <DocSecurity>0</DocSecurity>
  <Lines>175</Lines>
  <Paragraphs>49</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EIT 6302 Evidence-to-Decision table (DRAFT)</vt:lpstr>
      <vt:lpstr/>
      <vt:lpstr/>
    </vt:vector>
  </TitlesOfParts>
  <Company/>
  <LinksUpToDate>false</LinksUpToDate>
  <CharactersWithSpaces>24635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EIT 6302 Evidence-to-Decision table (DRAFT)</dc:title>
  <dc:creator>EIT 6302 review team (Yang C-W, Liu C-H, Greif R, Lockey A, Finn J, Lauridsen KG, Cheng A)</dc:creator>
  <cp:lastModifiedBy/>
  <cp:revision>6</cp:revision>
  <dcterms:created xsi:type="dcterms:W3CDTF">2026-08-31T00:00:00Z</dcterms:created>
  <dcterms:modified xsi:type="dcterms:W3CDTF">2026-10-19T15:03:00Z</dcterms:modified>
</cp:coreProperties>
</file>