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6BD8" w14:textId="5B140D9E" w:rsidR="008B3FB6" w:rsidRDefault="008B3FB6"/>
    <w:p w14:paraId="67BEEA31" w14:textId="77777777" w:rsidR="008102D2" w:rsidRPr="00FC592C" w:rsidRDefault="008102D2" w:rsidP="008102D2">
      <w:pPr>
        <w:jc w:val="both"/>
        <w:rPr>
          <w:rFonts w:asciiTheme="majorHAnsi" w:eastAsia="Calibri" w:hAnsiTheme="majorHAnsi" w:cstheme="majorHAnsi"/>
          <w:b/>
          <w:sz w:val="28"/>
          <w:szCs w:val="28"/>
          <w:vertAlign w:val="superscript"/>
        </w:rPr>
      </w:pPr>
      <w:r>
        <w:rPr>
          <w:rFonts w:asciiTheme="majorHAnsi" w:eastAsia="Calibri" w:hAnsiTheme="majorHAnsi" w:cstheme="majorHAnsi"/>
          <w:b/>
          <w:sz w:val="28"/>
          <w:szCs w:val="28"/>
        </w:rPr>
        <w:t xml:space="preserve">FA 7030 </w:t>
      </w:r>
      <w:r w:rsidRPr="00FC592C">
        <w:rPr>
          <w:rFonts w:asciiTheme="majorHAnsi" w:eastAsia="Calibri" w:hAnsiTheme="majorHAnsi" w:cstheme="majorHAnsi"/>
          <w:b/>
          <w:sz w:val="28"/>
          <w:szCs w:val="28"/>
        </w:rPr>
        <w:t>Data tables</w:t>
      </w:r>
    </w:p>
    <w:p w14:paraId="222B3FEE" w14:textId="77777777" w:rsidR="008102D2" w:rsidRPr="0065444A" w:rsidRDefault="008102D2" w:rsidP="008102D2">
      <w:pPr>
        <w:jc w:val="both"/>
        <w:rPr>
          <w:rFonts w:asciiTheme="majorHAnsi" w:hAnsiTheme="majorHAnsi" w:cstheme="majorHAnsi"/>
          <w:b/>
          <w:bCs/>
        </w:rPr>
      </w:pPr>
    </w:p>
    <w:tbl>
      <w:tblPr>
        <w:tblStyle w:val="TableGrid"/>
        <w:tblW w:w="10620" w:type="dxa"/>
        <w:tblInd w:w="-1085" w:type="dxa"/>
        <w:tblLayout w:type="fixed"/>
        <w:tblLook w:val="04A0" w:firstRow="1" w:lastRow="0" w:firstColumn="1" w:lastColumn="0" w:noHBand="0" w:noVBand="1"/>
      </w:tblPr>
      <w:tblGrid>
        <w:gridCol w:w="1620"/>
        <w:gridCol w:w="1170"/>
        <w:gridCol w:w="810"/>
        <w:gridCol w:w="990"/>
        <w:gridCol w:w="990"/>
        <w:gridCol w:w="990"/>
        <w:gridCol w:w="2340"/>
        <w:gridCol w:w="1710"/>
      </w:tblGrid>
      <w:tr w:rsidR="008102D2" w:rsidRPr="00767234" w14:paraId="19528137" w14:textId="77777777" w:rsidTr="009E14B4">
        <w:tc>
          <w:tcPr>
            <w:tcW w:w="1620" w:type="dxa"/>
          </w:tcPr>
          <w:p w14:paraId="7040570A" w14:textId="77777777" w:rsidR="008102D2" w:rsidRPr="00767234" w:rsidRDefault="008102D2" w:rsidP="009E14B4">
            <w:pPr>
              <w:rPr>
                <w:rFonts w:asciiTheme="majorHAnsi" w:hAnsiTheme="majorHAnsi" w:cstheme="majorHAnsi"/>
                <w:b/>
                <w:bCs/>
                <w:sz w:val="15"/>
                <w:szCs w:val="15"/>
              </w:rPr>
            </w:pPr>
            <w:proofErr w:type="gramStart"/>
            <w:r w:rsidRPr="00767234">
              <w:rPr>
                <w:rFonts w:asciiTheme="majorHAnsi" w:hAnsiTheme="majorHAnsi" w:cstheme="majorHAnsi"/>
                <w:b/>
                <w:bCs/>
                <w:sz w:val="15"/>
                <w:szCs w:val="15"/>
              </w:rPr>
              <w:t>Author;</w:t>
            </w:r>
            <w:proofErr w:type="gramEnd"/>
          </w:p>
          <w:p w14:paraId="6F5802B5"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Year Published</w:t>
            </w:r>
          </w:p>
          <w:p w14:paraId="1E6CBF22"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(References)</w:t>
            </w:r>
          </w:p>
        </w:tc>
        <w:tc>
          <w:tcPr>
            <w:tcW w:w="1170" w:type="dxa"/>
          </w:tcPr>
          <w:p w14:paraId="4CED4C0D"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Study Type</w:t>
            </w:r>
          </w:p>
        </w:tc>
        <w:tc>
          <w:tcPr>
            <w:tcW w:w="810" w:type="dxa"/>
          </w:tcPr>
          <w:p w14:paraId="468B5A40"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Setting</w:t>
            </w:r>
          </w:p>
        </w:tc>
        <w:tc>
          <w:tcPr>
            <w:tcW w:w="990" w:type="dxa"/>
          </w:tcPr>
          <w:p w14:paraId="6B1226AF"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Population</w:t>
            </w:r>
          </w:p>
        </w:tc>
        <w:tc>
          <w:tcPr>
            <w:tcW w:w="990" w:type="dxa"/>
          </w:tcPr>
          <w:p w14:paraId="3262F4D2"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Intervention</w:t>
            </w:r>
          </w:p>
        </w:tc>
        <w:tc>
          <w:tcPr>
            <w:tcW w:w="990" w:type="dxa"/>
          </w:tcPr>
          <w:p w14:paraId="1956EFD6"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Comparison</w:t>
            </w:r>
          </w:p>
        </w:tc>
        <w:tc>
          <w:tcPr>
            <w:tcW w:w="2340" w:type="dxa"/>
          </w:tcPr>
          <w:p w14:paraId="373BAC86"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Outcomes</w:t>
            </w:r>
          </w:p>
        </w:tc>
        <w:tc>
          <w:tcPr>
            <w:tcW w:w="1710" w:type="dxa"/>
          </w:tcPr>
          <w:p w14:paraId="07566AF9" w14:textId="77777777" w:rsidR="008102D2" w:rsidRPr="00767234" w:rsidRDefault="008102D2" w:rsidP="009E14B4">
            <w:pPr>
              <w:rPr>
                <w:rFonts w:asciiTheme="majorHAnsi" w:hAnsiTheme="majorHAnsi" w:cstheme="majorHAnsi"/>
                <w:b/>
                <w:bCs/>
                <w:sz w:val="15"/>
                <w:szCs w:val="15"/>
              </w:rPr>
            </w:pPr>
            <w:r w:rsidRPr="00767234">
              <w:rPr>
                <w:rFonts w:asciiTheme="majorHAnsi" w:hAnsiTheme="majorHAnsi" w:cstheme="majorHAnsi"/>
                <w:b/>
                <w:bCs/>
                <w:sz w:val="15"/>
                <w:szCs w:val="15"/>
              </w:rPr>
              <w:t>Results/Key findings</w:t>
            </w:r>
          </w:p>
        </w:tc>
      </w:tr>
      <w:tr w:rsidR="008102D2" w:rsidRPr="00767234" w14:paraId="26AF605F" w14:textId="77777777" w:rsidTr="009E14B4">
        <w:tc>
          <w:tcPr>
            <w:tcW w:w="1620" w:type="dxa"/>
          </w:tcPr>
          <w:p w14:paraId="0D33DBA6" w14:textId="77777777" w:rsidR="008102D2" w:rsidRPr="00767234" w:rsidRDefault="008102D2" w:rsidP="009E14B4">
            <w:pPr>
              <w:rPr>
                <w:rFonts w:asciiTheme="majorHAnsi" w:hAnsiTheme="majorHAnsi" w:cstheme="majorHAnsi"/>
                <w:color w:val="212121"/>
                <w:sz w:val="15"/>
                <w:szCs w:val="15"/>
                <w:shd w:val="clear" w:color="auto" w:fill="FFFFFF"/>
              </w:rPr>
            </w:pPr>
            <w:r w:rsidRPr="00767234">
              <w:rPr>
                <w:rFonts w:asciiTheme="majorHAnsi" w:hAnsiTheme="majorHAnsi" w:cstheme="majorHAnsi"/>
                <w:noProof/>
                <w:sz w:val="15"/>
                <w:szCs w:val="15"/>
              </w:rPr>
              <w:t xml:space="preserve">Austin, M. and R. Wood-Baker, </w:t>
            </w:r>
            <w:r w:rsidRPr="00767234">
              <w:rPr>
                <w:rFonts w:asciiTheme="majorHAnsi" w:hAnsiTheme="majorHAnsi" w:cstheme="majorHAnsi"/>
                <w:i/>
                <w:noProof/>
                <w:sz w:val="15"/>
                <w:szCs w:val="15"/>
              </w:rPr>
              <w:t>Oxygen therapy in the pre-hospital setting for acute exacerbations of chronic obstructive pulmonary disease.</w:t>
            </w:r>
            <w:r w:rsidRPr="00767234">
              <w:rPr>
                <w:rFonts w:asciiTheme="majorHAnsi" w:hAnsiTheme="majorHAnsi" w:cstheme="majorHAnsi"/>
                <w:noProof/>
                <w:sz w:val="15"/>
                <w:szCs w:val="15"/>
              </w:rPr>
              <w:t xml:space="preserve"> Cochrane Database Syst Rev, 2006(3): p. Cd005534.</w:t>
            </w:r>
          </w:p>
        </w:tc>
        <w:tc>
          <w:tcPr>
            <w:tcW w:w="1170" w:type="dxa"/>
          </w:tcPr>
          <w:p w14:paraId="197E196B"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Systematic review of randomized controlled trials (RCTs)</w:t>
            </w:r>
          </w:p>
        </w:tc>
        <w:tc>
          <w:tcPr>
            <w:tcW w:w="810" w:type="dxa"/>
          </w:tcPr>
          <w:p w14:paraId="15A1D47F"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 hospital</w:t>
            </w:r>
          </w:p>
        </w:tc>
        <w:tc>
          <w:tcPr>
            <w:tcW w:w="990" w:type="dxa"/>
          </w:tcPr>
          <w:p w14:paraId="7C61CF92"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Acute exacerbation of Chronic obstructive pulmonary disease (AECOPD)</w:t>
            </w:r>
          </w:p>
        </w:tc>
        <w:tc>
          <w:tcPr>
            <w:tcW w:w="990" w:type="dxa"/>
          </w:tcPr>
          <w:p w14:paraId="4F650029"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High flow oxygen</w:t>
            </w:r>
          </w:p>
        </w:tc>
        <w:tc>
          <w:tcPr>
            <w:tcW w:w="990" w:type="dxa"/>
          </w:tcPr>
          <w:p w14:paraId="70C402ED"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“Controlled” oxygen</w:t>
            </w:r>
          </w:p>
        </w:tc>
        <w:tc>
          <w:tcPr>
            <w:tcW w:w="2340" w:type="dxa"/>
          </w:tcPr>
          <w:p w14:paraId="2AB13CBA"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 xml:space="preserve">Mortality from respiratory causes </w:t>
            </w:r>
            <w:r w:rsidRPr="00767234">
              <w:rPr>
                <w:rFonts w:asciiTheme="majorHAnsi" w:hAnsiTheme="majorHAnsi" w:cstheme="majorHAnsi"/>
                <w:i/>
                <w:iCs/>
                <w:sz w:val="15"/>
                <w:szCs w:val="15"/>
              </w:rPr>
              <w:t>Secondary outcomes</w:t>
            </w:r>
            <w:r w:rsidRPr="00767234">
              <w:rPr>
                <w:rFonts w:asciiTheme="majorHAnsi" w:hAnsiTheme="majorHAnsi" w:cstheme="majorHAnsi"/>
                <w:b/>
                <w:bCs/>
                <w:i/>
                <w:iCs/>
                <w:sz w:val="15"/>
                <w:szCs w:val="15"/>
              </w:rPr>
              <w:t xml:space="preserve"> </w:t>
            </w:r>
            <w:r w:rsidRPr="00767234">
              <w:rPr>
                <w:rFonts w:asciiTheme="majorHAnsi" w:hAnsiTheme="majorHAnsi" w:cstheme="majorHAnsi"/>
                <w:sz w:val="15"/>
                <w:szCs w:val="15"/>
              </w:rPr>
              <w:br/>
              <w:t>1. All causes mortality</w:t>
            </w:r>
            <w:r w:rsidRPr="00767234">
              <w:rPr>
                <w:rFonts w:asciiTheme="majorHAnsi" w:hAnsiTheme="majorHAnsi" w:cstheme="majorHAnsi"/>
                <w:sz w:val="15"/>
                <w:szCs w:val="15"/>
              </w:rPr>
              <w:br/>
              <w:t>2. Dyspnea score</w:t>
            </w:r>
            <w:r w:rsidRPr="00767234">
              <w:rPr>
                <w:rFonts w:asciiTheme="majorHAnsi" w:hAnsiTheme="majorHAnsi" w:cstheme="majorHAnsi"/>
                <w:sz w:val="15"/>
                <w:szCs w:val="15"/>
              </w:rPr>
              <w:br/>
              <w:t>3. Arterial blood gas (</w:t>
            </w:r>
            <w:proofErr w:type="gramStart"/>
            <w:r w:rsidRPr="00767234">
              <w:rPr>
                <w:rFonts w:asciiTheme="majorHAnsi" w:hAnsiTheme="majorHAnsi" w:cstheme="majorHAnsi"/>
                <w:sz w:val="15"/>
                <w:szCs w:val="15"/>
              </w:rPr>
              <w:t xml:space="preserve">ABG)   </w:t>
            </w:r>
            <w:proofErr w:type="gramEnd"/>
            <w:r w:rsidRPr="00767234">
              <w:rPr>
                <w:rFonts w:asciiTheme="majorHAnsi" w:hAnsiTheme="majorHAnsi" w:cstheme="majorHAnsi"/>
                <w:sz w:val="15"/>
                <w:szCs w:val="15"/>
              </w:rPr>
              <w:t xml:space="preserve">           </w:t>
            </w:r>
            <w:r w:rsidRPr="00767234">
              <w:rPr>
                <w:rFonts w:asciiTheme="majorHAnsi" w:hAnsiTheme="majorHAnsi" w:cstheme="majorHAnsi"/>
                <w:sz w:val="15"/>
                <w:szCs w:val="15"/>
              </w:rPr>
              <w:br/>
              <w:t>4. Length of stay (LOS)</w:t>
            </w:r>
            <w:r w:rsidRPr="00767234">
              <w:rPr>
                <w:rFonts w:asciiTheme="majorHAnsi" w:hAnsiTheme="majorHAnsi" w:cstheme="majorHAnsi"/>
                <w:sz w:val="15"/>
                <w:szCs w:val="15"/>
              </w:rPr>
              <w:br/>
              <w:t>5. ICU admission</w:t>
            </w:r>
            <w:r w:rsidRPr="00767234">
              <w:rPr>
                <w:rFonts w:asciiTheme="majorHAnsi" w:hAnsiTheme="majorHAnsi" w:cstheme="majorHAnsi"/>
                <w:sz w:val="15"/>
                <w:szCs w:val="15"/>
              </w:rPr>
              <w:br/>
              <w:t>6. Mental status score</w:t>
            </w:r>
            <w:r w:rsidRPr="00767234">
              <w:rPr>
                <w:rFonts w:asciiTheme="majorHAnsi" w:hAnsiTheme="majorHAnsi" w:cstheme="majorHAnsi"/>
                <w:sz w:val="15"/>
                <w:szCs w:val="15"/>
              </w:rPr>
              <w:br/>
              <w:t xml:space="preserve">7. Consciousness score (i.e., GCS) </w:t>
            </w:r>
            <w:r w:rsidRPr="00767234">
              <w:rPr>
                <w:rFonts w:asciiTheme="majorHAnsi" w:hAnsiTheme="majorHAnsi" w:cstheme="majorHAnsi"/>
                <w:sz w:val="15"/>
                <w:szCs w:val="15"/>
              </w:rPr>
              <w:br/>
              <w:t>8. Invasive ventilation</w:t>
            </w:r>
            <w:r w:rsidRPr="00767234">
              <w:rPr>
                <w:rFonts w:asciiTheme="majorHAnsi" w:hAnsiTheme="majorHAnsi" w:cstheme="majorHAnsi"/>
                <w:sz w:val="15"/>
                <w:szCs w:val="15"/>
              </w:rPr>
              <w:br/>
              <w:t>9. Noninvasive ventilation</w:t>
            </w:r>
            <w:r w:rsidRPr="00767234">
              <w:rPr>
                <w:rFonts w:asciiTheme="majorHAnsi" w:hAnsiTheme="majorHAnsi" w:cstheme="majorHAnsi"/>
                <w:sz w:val="15"/>
                <w:szCs w:val="15"/>
              </w:rPr>
              <w:br/>
              <w:t>10.Lung function</w:t>
            </w:r>
            <w:r w:rsidRPr="00767234">
              <w:rPr>
                <w:rFonts w:asciiTheme="majorHAnsi" w:hAnsiTheme="majorHAnsi" w:cstheme="majorHAnsi"/>
                <w:sz w:val="15"/>
                <w:szCs w:val="15"/>
              </w:rPr>
              <w:br/>
              <w:t xml:space="preserve">11.Illness score </w:t>
            </w:r>
          </w:p>
        </w:tc>
        <w:tc>
          <w:tcPr>
            <w:tcW w:w="1710" w:type="dxa"/>
          </w:tcPr>
          <w:p w14:paraId="6C738482"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Only 2 RCTs were identified and were ongoing with no results published at the time of the review</w:t>
            </w:r>
          </w:p>
        </w:tc>
      </w:tr>
      <w:tr w:rsidR="008102D2" w:rsidRPr="00767234" w14:paraId="6E5867D9" w14:textId="77777777" w:rsidTr="009E14B4">
        <w:tc>
          <w:tcPr>
            <w:tcW w:w="1620" w:type="dxa"/>
          </w:tcPr>
          <w:p w14:paraId="3110DAC7" w14:textId="77777777" w:rsidR="008102D2" w:rsidRPr="00767234" w:rsidRDefault="008102D2" w:rsidP="009E14B4">
            <w:pPr>
              <w:rPr>
                <w:rFonts w:asciiTheme="majorHAnsi" w:hAnsiTheme="majorHAnsi" w:cstheme="majorHAnsi"/>
                <w:noProof/>
                <w:sz w:val="15"/>
                <w:szCs w:val="15"/>
              </w:rPr>
            </w:pPr>
            <w:r w:rsidRPr="00767234">
              <w:rPr>
                <w:rFonts w:asciiTheme="majorHAnsi" w:hAnsiTheme="majorHAnsi" w:cstheme="majorHAnsi"/>
                <w:noProof/>
                <w:sz w:val="15"/>
                <w:szCs w:val="15"/>
              </w:rPr>
              <w:t xml:space="preserve">Austin, M.A., et al., </w:t>
            </w:r>
            <w:r w:rsidRPr="00767234">
              <w:rPr>
                <w:rFonts w:asciiTheme="majorHAnsi" w:hAnsiTheme="majorHAnsi" w:cstheme="majorHAnsi"/>
                <w:i/>
                <w:noProof/>
                <w:sz w:val="15"/>
                <w:szCs w:val="15"/>
              </w:rPr>
              <w:t>Effect of high flow oxygen on mortality in chronic obstructive pulmonary disease patients in prehospital setting: randomised controlled trial.</w:t>
            </w:r>
            <w:r w:rsidRPr="00767234">
              <w:rPr>
                <w:rFonts w:asciiTheme="majorHAnsi" w:hAnsiTheme="majorHAnsi" w:cstheme="majorHAnsi"/>
                <w:noProof/>
                <w:sz w:val="15"/>
                <w:szCs w:val="15"/>
              </w:rPr>
              <w:t xml:space="preserve"> B</w:t>
            </w:r>
            <w:r>
              <w:rPr>
                <w:rFonts w:asciiTheme="majorHAnsi" w:hAnsiTheme="majorHAnsi" w:cstheme="majorHAnsi"/>
                <w:noProof/>
                <w:sz w:val="15"/>
                <w:szCs w:val="15"/>
              </w:rPr>
              <w:t>MJ</w:t>
            </w:r>
            <w:r w:rsidRPr="00767234">
              <w:rPr>
                <w:rFonts w:asciiTheme="majorHAnsi" w:hAnsiTheme="majorHAnsi" w:cstheme="majorHAnsi"/>
                <w:noProof/>
                <w:sz w:val="15"/>
                <w:szCs w:val="15"/>
              </w:rPr>
              <w:t xml:space="preserve">, 2010. </w:t>
            </w:r>
            <w:r w:rsidRPr="00233325">
              <w:rPr>
                <w:rFonts w:asciiTheme="majorHAnsi" w:hAnsiTheme="majorHAnsi" w:cstheme="majorHAnsi"/>
                <w:bCs/>
                <w:noProof/>
                <w:sz w:val="15"/>
                <w:szCs w:val="15"/>
              </w:rPr>
              <w:t>341</w:t>
            </w:r>
            <w:r w:rsidRPr="00767234">
              <w:rPr>
                <w:rFonts w:asciiTheme="majorHAnsi" w:hAnsiTheme="majorHAnsi" w:cstheme="majorHAnsi"/>
                <w:noProof/>
                <w:sz w:val="15"/>
                <w:szCs w:val="15"/>
              </w:rPr>
              <w:t>: p. c5462</w:t>
            </w:r>
          </w:p>
        </w:tc>
        <w:tc>
          <w:tcPr>
            <w:tcW w:w="1170" w:type="dxa"/>
          </w:tcPr>
          <w:p w14:paraId="6EA5DBF5"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Cluster randomized trial</w:t>
            </w:r>
          </w:p>
        </w:tc>
        <w:tc>
          <w:tcPr>
            <w:tcW w:w="810" w:type="dxa"/>
          </w:tcPr>
          <w:p w14:paraId="6BF433C6"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Pre-hospital</w:t>
            </w:r>
          </w:p>
        </w:tc>
        <w:tc>
          <w:tcPr>
            <w:tcW w:w="990" w:type="dxa"/>
          </w:tcPr>
          <w:p w14:paraId="127310D1"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COPD, including AECOPD</w:t>
            </w:r>
          </w:p>
        </w:tc>
        <w:tc>
          <w:tcPr>
            <w:tcW w:w="990" w:type="dxa"/>
          </w:tcPr>
          <w:p w14:paraId="6358EC54"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Oxygen titrated to saturations of 88-92%</w:t>
            </w:r>
          </w:p>
        </w:tc>
        <w:tc>
          <w:tcPr>
            <w:tcW w:w="990" w:type="dxa"/>
          </w:tcPr>
          <w:p w14:paraId="656F3A84"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High flow oxygen</w:t>
            </w:r>
          </w:p>
        </w:tc>
        <w:tc>
          <w:tcPr>
            <w:tcW w:w="2340" w:type="dxa"/>
          </w:tcPr>
          <w:p w14:paraId="7724B849"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Mortality</w:t>
            </w:r>
          </w:p>
        </w:tc>
        <w:tc>
          <w:tcPr>
            <w:tcW w:w="1710" w:type="dxa"/>
          </w:tcPr>
          <w:p w14:paraId="56BEBCA8" w14:textId="77777777" w:rsidR="008102D2" w:rsidRPr="00767234" w:rsidRDefault="008102D2" w:rsidP="009E14B4">
            <w:pPr>
              <w:rPr>
                <w:rFonts w:asciiTheme="majorHAnsi" w:hAnsiTheme="majorHAnsi" w:cstheme="majorHAnsi"/>
                <w:sz w:val="15"/>
                <w:szCs w:val="15"/>
              </w:rPr>
            </w:pPr>
            <w:r w:rsidRPr="00767234">
              <w:rPr>
                <w:rFonts w:asciiTheme="majorHAnsi" w:hAnsiTheme="majorHAnsi" w:cstheme="majorHAnsi"/>
                <w:sz w:val="15"/>
                <w:szCs w:val="15"/>
              </w:rPr>
              <w:t>Titrated oxygen treatment significantly reduced mortality, hypercapnia, and respiratory acidosis compared with high flow oxygen in acute exacerbations of chronic obstructive pulmonary disease.</w:t>
            </w:r>
          </w:p>
        </w:tc>
      </w:tr>
      <w:tr w:rsidR="008102D2" w:rsidRPr="00767234" w14:paraId="3314D5F8" w14:textId="77777777" w:rsidTr="009E14B4">
        <w:tc>
          <w:tcPr>
            <w:tcW w:w="1620" w:type="dxa"/>
          </w:tcPr>
          <w:p w14:paraId="5094E279" w14:textId="77777777" w:rsidR="008102D2" w:rsidRPr="00767234" w:rsidRDefault="008102D2" w:rsidP="009E14B4">
            <w:pPr>
              <w:rPr>
                <w:rFonts w:asciiTheme="majorHAnsi" w:hAnsiTheme="majorHAnsi" w:cstheme="majorHAnsi"/>
                <w:noProof/>
                <w:color w:val="000000" w:themeColor="text1"/>
                <w:sz w:val="15"/>
                <w:szCs w:val="15"/>
              </w:rPr>
            </w:pPr>
            <w:r w:rsidRPr="00767234">
              <w:rPr>
                <w:rStyle w:val="docsum-authors"/>
                <w:rFonts w:asciiTheme="majorHAnsi" w:hAnsiTheme="majorHAnsi" w:cstheme="majorHAnsi"/>
                <w:color w:val="000000" w:themeColor="text1"/>
                <w:sz w:val="15"/>
                <w:szCs w:val="15"/>
                <w:shd w:val="clear" w:color="auto" w:fill="FFFFFF"/>
              </w:rPr>
              <w:t>Wijesinghe M, et al.</w:t>
            </w:r>
            <w:r w:rsidRPr="00767234">
              <w:rPr>
                <w:rFonts w:asciiTheme="majorHAnsi" w:hAnsiTheme="majorHAnsi" w:cstheme="majorHAnsi"/>
                <w:color w:val="000000" w:themeColor="text1"/>
                <w:sz w:val="15"/>
                <w:szCs w:val="15"/>
                <w:shd w:val="clear" w:color="auto" w:fill="FFFFFF"/>
              </w:rPr>
              <w:t xml:space="preserve">  Pre-hospital oxygen therapy in acute exacerbations of chronic obstructive pulmonary disease. </w:t>
            </w:r>
            <w:r w:rsidRPr="00767234">
              <w:rPr>
                <w:rStyle w:val="docsum-journal-citation"/>
                <w:rFonts w:asciiTheme="majorHAnsi" w:hAnsiTheme="majorHAnsi" w:cstheme="majorHAnsi"/>
                <w:i/>
                <w:color w:val="000000" w:themeColor="text1"/>
                <w:sz w:val="15"/>
                <w:szCs w:val="15"/>
                <w:shd w:val="clear" w:color="auto" w:fill="FFFFFF"/>
              </w:rPr>
              <w:t>Intern Med J.</w:t>
            </w:r>
            <w:r w:rsidRPr="00767234">
              <w:rPr>
                <w:rStyle w:val="docsum-journal-citation"/>
                <w:rFonts w:asciiTheme="majorHAnsi" w:hAnsiTheme="majorHAnsi" w:cstheme="majorHAnsi"/>
                <w:color w:val="000000" w:themeColor="text1"/>
                <w:sz w:val="15"/>
                <w:szCs w:val="15"/>
                <w:shd w:val="clear" w:color="auto" w:fill="FFFFFF"/>
              </w:rPr>
              <w:t xml:space="preserve"> 2011. Nov 618-622</w:t>
            </w:r>
            <w:r w:rsidRPr="00767234">
              <w:rPr>
                <w:rFonts w:asciiTheme="majorHAnsi" w:hAnsiTheme="majorHAnsi" w:cstheme="majorHAnsi"/>
                <w:color w:val="000000" w:themeColor="text1"/>
                <w:sz w:val="15"/>
                <w:szCs w:val="15"/>
                <w:shd w:val="clear" w:color="auto" w:fill="FFFFFF"/>
              </w:rPr>
              <w:t> </w:t>
            </w:r>
            <w:r w:rsidRPr="00767234">
              <w:rPr>
                <w:rStyle w:val="citation-part"/>
                <w:rFonts w:asciiTheme="majorHAnsi" w:hAnsiTheme="majorHAnsi" w:cstheme="majorHAnsi"/>
                <w:color w:val="000000" w:themeColor="text1"/>
                <w:sz w:val="15"/>
                <w:szCs w:val="15"/>
                <w:shd w:val="clear" w:color="auto" w:fill="FFFFFF"/>
              </w:rPr>
              <w:t>PMID: </w:t>
            </w:r>
            <w:r w:rsidRPr="00767234">
              <w:rPr>
                <w:rStyle w:val="docsum-pmid"/>
                <w:rFonts w:asciiTheme="majorHAnsi" w:hAnsiTheme="majorHAnsi" w:cstheme="majorHAnsi"/>
                <w:color w:val="000000" w:themeColor="text1"/>
                <w:sz w:val="15"/>
                <w:szCs w:val="15"/>
                <w:shd w:val="clear" w:color="auto" w:fill="FFFFFF"/>
              </w:rPr>
              <w:t>20214690</w:t>
            </w:r>
            <w:r w:rsidRPr="00767234">
              <w:rPr>
                <w:rFonts w:asciiTheme="majorHAnsi" w:hAnsiTheme="majorHAnsi" w:cstheme="majorHAnsi"/>
                <w:noProof/>
                <w:color w:val="000000" w:themeColor="text1"/>
                <w:sz w:val="15"/>
                <w:szCs w:val="15"/>
                <w:lang w:eastAsia="zh-TW"/>
              </w:rPr>
              <w:t>)</w:t>
            </w:r>
          </w:p>
        </w:tc>
        <w:tc>
          <w:tcPr>
            <w:tcW w:w="1170" w:type="dxa"/>
          </w:tcPr>
          <w:p w14:paraId="7AC1127F" w14:textId="77777777" w:rsidR="008102D2" w:rsidRPr="00767234" w:rsidRDefault="008102D2" w:rsidP="009E14B4">
            <w:pPr>
              <w:rPr>
                <w:rFonts w:asciiTheme="majorHAnsi" w:eastAsia="PMingLiU" w:hAnsiTheme="majorHAnsi" w:cstheme="majorHAnsi"/>
                <w:bCs/>
                <w:color w:val="000000" w:themeColor="text1"/>
                <w:sz w:val="15"/>
                <w:szCs w:val="15"/>
                <w:lang w:eastAsia="zh-TW"/>
              </w:rPr>
            </w:pPr>
            <w:r w:rsidRPr="00767234">
              <w:rPr>
                <w:rFonts w:asciiTheme="majorHAnsi" w:eastAsia="PMingLiU" w:hAnsiTheme="majorHAnsi" w:cstheme="majorHAnsi"/>
                <w:bCs/>
                <w:color w:val="000000" w:themeColor="text1"/>
                <w:sz w:val="15"/>
                <w:szCs w:val="15"/>
                <w:lang w:eastAsia="zh-TW"/>
              </w:rPr>
              <w:t>Retrospective observational</w:t>
            </w:r>
          </w:p>
        </w:tc>
        <w:tc>
          <w:tcPr>
            <w:tcW w:w="810" w:type="dxa"/>
          </w:tcPr>
          <w:p w14:paraId="5BEF8A78" w14:textId="77777777" w:rsidR="008102D2" w:rsidRPr="00767234" w:rsidRDefault="008102D2" w:rsidP="009E14B4">
            <w:pPr>
              <w:rPr>
                <w:rFonts w:asciiTheme="majorHAnsi" w:eastAsia="PMingLiU" w:hAnsiTheme="majorHAnsi" w:cstheme="majorHAnsi"/>
                <w:bCs/>
                <w:sz w:val="15"/>
                <w:szCs w:val="15"/>
                <w:lang w:eastAsia="zh-TW"/>
              </w:rPr>
            </w:pPr>
            <w:r w:rsidRPr="00767234">
              <w:rPr>
                <w:rFonts w:asciiTheme="majorHAnsi" w:eastAsia="PMingLiU" w:hAnsiTheme="majorHAnsi" w:cstheme="majorHAnsi"/>
                <w:bCs/>
                <w:sz w:val="15"/>
                <w:szCs w:val="15"/>
                <w:lang w:eastAsia="zh-TW"/>
              </w:rPr>
              <w:t>Pre-hospital</w:t>
            </w:r>
          </w:p>
        </w:tc>
        <w:tc>
          <w:tcPr>
            <w:tcW w:w="990" w:type="dxa"/>
          </w:tcPr>
          <w:p w14:paraId="0FA01302" w14:textId="77777777" w:rsidR="008102D2" w:rsidRPr="00767234" w:rsidRDefault="008102D2" w:rsidP="009E14B4">
            <w:pPr>
              <w:rPr>
                <w:rFonts w:asciiTheme="majorHAnsi" w:eastAsia="PMingLiU" w:hAnsiTheme="majorHAnsi" w:cstheme="majorHAnsi"/>
                <w:bCs/>
                <w:sz w:val="15"/>
                <w:szCs w:val="15"/>
                <w:lang w:eastAsia="zh-TW"/>
              </w:rPr>
            </w:pPr>
            <w:r w:rsidRPr="00767234">
              <w:rPr>
                <w:rFonts w:asciiTheme="majorHAnsi" w:eastAsia="PMingLiU" w:hAnsiTheme="majorHAnsi" w:cstheme="majorHAnsi"/>
                <w:bCs/>
                <w:sz w:val="15"/>
                <w:szCs w:val="15"/>
                <w:lang w:eastAsia="zh-TW"/>
              </w:rPr>
              <w:t>AECOPD</w:t>
            </w:r>
          </w:p>
        </w:tc>
        <w:tc>
          <w:tcPr>
            <w:tcW w:w="990" w:type="dxa"/>
          </w:tcPr>
          <w:p w14:paraId="0B05FF68" w14:textId="77777777" w:rsidR="008102D2" w:rsidRPr="00767234" w:rsidRDefault="008102D2" w:rsidP="009E14B4">
            <w:pPr>
              <w:rPr>
                <w:rFonts w:asciiTheme="majorHAnsi" w:eastAsia="PMingLiU" w:hAnsiTheme="majorHAnsi" w:cstheme="majorHAnsi"/>
                <w:bCs/>
                <w:sz w:val="15"/>
                <w:szCs w:val="15"/>
                <w:lang w:eastAsia="zh-TW"/>
              </w:rPr>
            </w:pPr>
            <w:r w:rsidRPr="00767234">
              <w:rPr>
                <w:rFonts w:asciiTheme="majorHAnsi" w:eastAsia="PMingLiU" w:hAnsiTheme="majorHAnsi" w:cstheme="majorHAnsi"/>
                <w:bCs/>
                <w:sz w:val="15"/>
                <w:szCs w:val="15"/>
                <w:lang w:eastAsia="zh-TW"/>
              </w:rPr>
              <w:t>Oxygen administration per 1 liter per minute increase in flow</w:t>
            </w:r>
          </w:p>
        </w:tc>
        <w:tc>
          <w:tcPr>
            <w:tcW w:w="990" w:type="dxa"/>
          </w:tcPr>
          <w:p w14:paraId="0023FDCB" w14:textId="77777777" w:rsidR="008102D2" w:rsidRPr="00767234" w:rsidRDefault="008102D2" w:rsidP="009E14B4">
            <w:pPr>
              <w:rPr>
                <w:rFonts w:asciiTheme="majorHAnsi" w:eastAsia="PMingLiU" w:hAnsiTheme="majorHAnsi" w:cstheme="majorHAnsi"/>
                <w:bCs/>
                <w:sz w:val="15"/>
                <w:szCs w:val="15"/>
                <w:lang w:eastAsia="zh-TW"/>
              </w:rPr>
            </w:pPr>
            <w:r w:rsidRPr="00767234">
              <w:rPr>
                <w:rFonts w:asciiTheme="majorHAnsi" w:eastAsia="PMingLiU" w:hAnsiTheme="majorHAnsi" w:cstheme="majorHAnsi"/>
                <w:bCs/>
                <w:sz w:val="15"/>
                <w:szCs w:val="15"/>
                <w:lang w:eastAsia="zh-TW"/>
              </w:rPr>
              <w:t xml:space="preserve">Oxygen administration with oxygen </w:t>
            </w:r>
            <w:proofErr w:type="gramStart"/>
            <w:r w:rsidRPr="00767234">
              <w:rPr>
                <w:rFonts w:asciiTheme="majorHAnsi" w:eastAsia="PMingLiU" w:hAnsiTheme="majorHAnsi" w:cstheme="majorHAnsi"/>
                <w:bCs/>
                <w:sz w:val="15"/>
                <w:szCs w:val="15"/>
                <w:lang w:eastAsia="zh-TW"/>
              </w:rPr>
              <w:t>flow  1</w:t>
            </w:r>
            <w:proofErr w:type="gramEnd"/>
            <w:r w:rsidRPr="00767234">
              <w:rPr>
                <w:rFonts w:asciiTheme="majorHAnsi" w:eastAsia="PMingLiU" w:hAnsiTheme="majorHAnsi" w:cstheme="majorHAnsi"/>
                <w:bCs/>
                <w:sz w:val="15"/>
                <w:szCs w:val="15"/>
                <w:lang w:eastAsia="zh-TW"/>
              </w:rPr>
              <w:t xml:space="preserve"> liter per minute lower</w:t>
            </w:r>
          </w:p>
        </w:tc>
        <w:tc>
          <w:tcPr>
            <w:tcW w:w="2340" w:type="dxa"/>
          </w:tcPr>
          <w:p w14:paraId="7FCC1362" w14:textId="77777777" w:rsidR="008102D2" w:rsidRPr="00767234" w:rsidRDefault="008102D2" w:rsidP="009E14B4">
            <w:pPr>
              <w:pStyle w:val="NormalWeb"/>
              <w:rPr>
                <w:rFonts w:asciiTheme="majorHAnsi" w:eastAsia="PMingLiU" w:hAnsiTheme="majorHAnsi" w:cstheme="majorHAnsi"/>
                <w:sz w:val="15"/>
                <w:szCs w:val="15"/>
                <w:lang w:eastAsia="zh-TW"/>
              </w:rPr>
            </w:pPr>
            <w:r w:rsidRPr="00767234">
              <w:rPr>
                <w:rFonts w:asciiTheme="majorHAnsi" w:eastAsia="PMingLiU" w:hAnsiTheme="majorHAnsi" w:cstheme="majorHAnsi"/>
                <w:sz w:val="15"/>
                <w:szCs w:val="15"/>
                <w:lang w:eastAsia="zh-TW"/>
              </w:rPr>
              <w:t>Death, required assisted ventilation or in respiratory failure</w:t>
            </w:r>
          </w:p>
        </w:tc>
        <w:tc>
          <w:tcPr>
            <w:tcW w:w="1710" w:type="dxa"/>
          </w:tcPr>
          <w:p w14:paraId="5310911C" w14:textId="77777777" w:rsidR="008102D2" w:rsidRPr="00767234" w:rsidRDefault="008102D2" w:rsidP="009E14B4">
            <w:pPr>
              <w:widowControl w:val="0"/>
              <w:autoSpaceDE w:val="0"/>
              <w:autoSpaceDN w:val="0"/>
              <w:adjustRightInd w:val="0"/>
              <w:rPr>
                <w:rFonts w:asciiTheme="majorHAnsi" w:hAnsiTheme="majorHAnsi" w:cstheme="majorHAnsi"/>
                <w:sz w:val="15"/>
                <w:szCs w:val="15"/>
              </w:rPr>
            </w:pPr>
            <w:r w:rsidRPr="00767234">
              <w:rPr>
                <w:rFonts w:asciiTheme="majorHAnsi" w:hAnsiTheme="majorHAnsi" w:cstheme="majorHAnsi"/>
                <w:sz w:val="15"/>
                <w:szCs w:val="15"/>
              </w:rPr>
              <w:t>Of 250 patients 10</w:t>
            </w:r>
            <w:r w:rsidRPr="00767234">
              <w:rPr>
                <w:rFonts w:asciiTheme="majorHAnsi" w:eastAsia="PMingLiU" w:hAnsiTheme="majorHAnsi" w:cstheme="majorHAnsi"/>
                <w:sz w:val="15"/>
                <w:szCs w:val="15"/>
                <w:lang w:eastAsia="zh-TW"/>
              </w:rPr>
              <w:t xml:space="preserve"> (</w:t>
            </w:r>
            <w:r w:rsidRPr="00767234">
              <w:rPr>
                <w:rFonts w:asciiTheme="majorHAnsi" w:hAnsiTheme="majorHAnsi" w:cstheme="majorHAnsi"/>
                <w:sz w:val="15"/>
                <w:szCs w:val="15"/>
              </w:rPr>
              <w:t>4%) died, and 77 (31%) died, required assisted ventilation or were in</w:t>
            </w:r>
          </w:p>
          <w:p w14:paraId="3D9BC6CC" w14:textId="77777777" w:rsidR="008102D2" w:rsidRPr="00767234" w:rsidRDefault="008102D2" w:rsidP="009E14B4">
            <w:pPr>
              <w:widowControl w:val="0"/>
              <w:autoSpaceDE w:val="0"/>
              <w:autoSpaceDN w:val="0"/>
              <w:adjustRightInd w:val="0"/>
              <w:rPr>
                <w:rFonts w:asciiTheme="majorHAnsi" w:hAnsiTheme="majorHAnsi" w:cstheme="majorHAnsi"/>
                <w:sz w:val="15"/>
                <w:szCs w:val="15"/>
              </w:rPr>
            </w:pPr>
            <w:r w:rsidRPr="00767234">
              <w:rPr>
                <w:rFonts w:asciiTheme="majorHAnsi" w:hAnsiTheme="majorHAnsi" w:cstheme="majorHAnsi"/>
                <w:sz w:val="15"/>
                <w:szCs w:val="15"/>
              </w:rPr>
              <w:t>respiratory failure. Increased oxygen flow was associated with increasing risk of death,</w:t>
            </w:r>
          </w:p>
          <w:p w14:paraId="1C2661F8" w14:textId="77777777" w:rsidR="008102D2" w:rsidRPr="00767234" w:rsidRDefault="008102D2" w:rsidP="009E14B4">
            <w:pPr>
              <w:widowControl w:val="0"/>
              <w:autoSpaceDE w:val="0"/>
              <w:autoSpaceDN w:val="0"/>
              <w:adjustRightInd w:val="0"/>
              <w:rPr>
                <w:rFonts w:asciiTheme="majorHAnsi" w:hAnsiTheme="majorHAnsi" w:cstheme="majorHAnsi"/>
                <w:sz w:val="15"/>
                <w:szCs w:val="15"/>
              </w:rPr>
            </w:pPr>
            <w:r w:rsidRPr="00767234">
              <w:rPr>
                <w:rFonts w:asciiTheme="majorHAnsi" w:hAnsiTheme="majorHAnsi" w:cstheme="majorHAnsi"/>
                <w:sz w:val="15"/>
                <w:szCs w:val="15"/>
              </w:rPr>
              <w:t>assisted ventilation or respiratory failure with an odds ratio (OR) of 1.2 (95% CI 1.0–1.4) per 1 L/min oxygen flow. Increasing PaO2 was associated with a greater risk of a poor</w:t>
            </w:r>
          </w:p>
          <w:p w14:paraId="0789231D" w14:textId="77777777" w:rsidR="008102D2" w:rsidRPr="00767234" w:rsidRDefault="008102D2" w:rsidP="009E14B4">
            <w:pPr>
              <w:widowControl w:val="0"/>
              <w:autoSpaceDE w:val="0"/>
              <w:autoSpaceDN w:val="0"/>
              <w:adjustRightInd w:val="0"/>
              <w:rPr>
                <w:rFonts w:asciiTheme="majorHAnsi" w:hAnsiTheme="majorHAnsi" w:cstheme="majorHAnsi"/>
                <w:sz w:val="15"/>
                <w:szCs w:val="15"/>
              </w:rPr>
            </w:pPr>
            <w:r w:rsidRPr="00767234">
              <w:rPr>
                <w:rFonts w:asciiTheme="majorHAnsi" w:hAnsiTheme="majorHAnsi" w:cstheme="majorHAnsi"/>
                <w:sz w:val="15"/>
                <w:szCs w:val="15"/>
              </w:rPr>
              <w:t>outcome with an OR of 1.1 (95% CI 1.0–1.3) per 10 mmHg higher PaO2.</w:t>
            </w:r>
          </w:p>
        </w:tc>
      </w:tr>
      <w:tr w:rsidR="008102D2" w:rsidRPr="00767234" w14:paraId="31A5696C" w14:textId="77777777" w:rsidTr="009E14B4">
        <w:tc>
          <w:tcPr>
            <w:tcW w:w="1620" w:type="dxa"/>
          </w:tcPr>
          <w:p w14:paraId="41615B0B" w14:textId="77777777" w:rsidR="008102D2" w:rsidRPr="00767234" w:rsidRDefault="008102D2" w:rsidP="009E14B4">
            <w:pPr>
              <w:rPr>
                <w:rFonts w:asciiTheme="majorHAnsi" w:hAnsiTheme="majorHAnsi" w:cstheme="majorHAnsi"/>
                <w:noProof/>
                <w:sz w:val="15"/>
                <w:szCs w:val="15"/>
              </w:rPr>
            </w:pPr>
            <w:r w:rsidRPr="00767234">
              <w:rPr>
                <w:rFonts w:asciiTheme="majorHAnsi" w:hAnsiTheme="majorHAnsi" w:cstheme="majorHAnsi"/>
                <w:noProof/>
                <w:sz w:val="15"/>
                <w:szCs w:val="15"/>
              </w:rPr>
              <w:t xml:space="preserve">Cameron, L., et al., </w:t>
            </w:r>
            <w:r w:rsidRPr="00767234">
              <w:rPr>
                <w:rFonts w:asciiTheme="majorHAnsi" w:hAnsiTheme="majorHAnsi" w:cstheme="majorHAnsi"/>
                <w:i/>
                <w:noProof/>
                <w:sz w:val="15"/>
                <w:szCs w:val="15"/>
              </w:rPr>
              <w:t>The risk of serious adverse outcomes associated with hypoxaemia and hyperoxaemia in acute exacerbations of COPD.</w:t>
            </w:r>
            <w:r w:rsidRPr="00767234">
              <w:rPr>
                <w:rFonts w:asciiTheme="majorHAnsi" w:hAnsiTheme="majorHAnsi" w:cstheme="majorHAnsi"/>
                <w:noProof/>
                <w:sz w:val="15"/>
                <w:szCs w:val="15"/>
              </w:rPr>
              <w:t xml:space="preserve"> Postgrad Med J, 2012. </w:t>
            </w:r>
            <w:r w:rsidRPr="00233325">
              <w:rPr>
                <w:rFonts w:asciiTheme="majorHAnsi" w:hAnsiTheme="majorHAnsi" w:cstheme="majorHAnsi"/>
                <w:bCs/>
                <w:noProof/>
                <w:sz w:val="15"/>
                <w:szCs w:val="15"/>
              </w:rPr>
              <w:t>88</w:t>
            </w:r>
            <w:r w:rsidRPr="00767234">
              <w:rPr>
                <w:rFonts w:asciiTheme="majorHAnsi" w:hAnsiTheme="majorHAnsi" w:cstheme="majorHAnsi"/>
                <w:noProof/>
                <w:sz w:val="15"/>
                <w:szCs w:val="15"/>
              </w:rPr>
              <w:t>(1046): p. 684-9.</w:t>
            </w:r>
          </w:p>
        </w:tc>
        <w:tc>
          <w:tcPr>
            <w:tcW w:w="1170" w:type="dxa"/>
          </w:tcPr>
          <w:p w14:paraId="4EEE8791"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Retrospective observational</w:t>
            </w:r>
          </w:p>
        </w:tc>
        <w:tc>
          <w:tcPr>
            <w:tcW w:w="810" w:type="dxa"/>
          </w:tcPr>
          <w:p w14:paraId="2FD3A5F6"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Pre-hospital</w:t>
            </w:r>
          </w:p>
        </w:tc>
        <w:tc>
          <w:tcPr>
            <w:tcW w:w="990" w:type="dxa"/>
          </w:tcPr>
          <w:p w14:paraId="65929180"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AECOPD</w:t>
            </w:r>
          </w:p>
        </w:tc>
        <w:tc>
          <w:tcPr>
            <w:tcW w:w="990" w:type="dxa"/>
          </w:tcPr>
          <w:p w14:paraId="42E4D21D"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Oxygen saturation on ABG within 4 hours of arrival in ED &lt;88% or &gt;96%</w:t>
            </w:r>
          </w:p>
        </w:tc>
        <w:tc>
          <w:tcPr>
            <w:tcW w:w="990" w:type="dxa"/>
          </w:tcPr>
          <w:p w14:paraId="5F5D6A9D"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Oxygen saturation on ABG within 4 hours of arrival in ED 88-96%</w:t>
            </w:r>
          </w:p>
        </w:tc>
        <w:tc>
          <w:tcPr>
            <w:tcW w:w="2340" w:type="dxa"/>
          </w:tcPr>
          <w:p w14:paraId="1DCFFF33"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 xml:space="preserve">Composite measure </w:t>
            </w:r>
            <w:r w:rsidRPr="00767234">
              <w:rPr>
                <w:rFonts w:asciiTheme="majorHAnsi" w:hAnsiTheme="majorHAnsi" w:cstheme="majorHAnsi"/>
                <w:color w:val="000000"/>
                <w:sz w:val="15"/>
                <w:szCs w:val="15"/>
                <w:lang w:val="en-GB"/>
              </w:rPr>
              <w:t>hypercapnic respiratory failure, assisted ventilation or inpatient death</w:t>
            </w:r>
          </w:p>
        </w:tc>
        <w:tc>
          <w:tcPr>
            <w:tcW w:w="1710" w:type="dxa"/>
          </w:tcPr>
          <w:p w14:paraId="4F7E0C29" w14:textId="77777777" w:rsidR="008102D2" w:rsidRPr="00767234" w:rsidRDefault="008102D2" w:rsidP="009E14B4">
            <w:pPr>
              <w:rPr>
                <w:rFonts w:asciiTheme="majorHAnsi" w:hAnsiTheme="majorHAnsi" w:cstheme="majorHAnsi"/>
                <w:sz w:val="15"/>
                <w:szCs w:val="15"/>
              </w:rPr>
            </w:pPr>
            <w:r w:rsidRPr="00767234">
              <w:rPr>
                <w:rFonts w:asciiTheme="majorHAnsi" w:hAnsiTheme="majorHAnsi" w:cstheme="majorHAnsi"/>
                <w:sz w:val="15"/>
                <w:szCs w:val="15"/>
              </w:rPr>
              <w:t>PaO</w:t>
            </w:r>
            <w:r w:rsidRPr="00767234">
              <w:rPr>
                <w:rFonts w:asciiTheme="majorHAnsi" w:hAnsiTheme="majorHAnsi" w:cstheme="majorHAnsi"/>
                <w:sz w:val="15"/>
                <w:szCs w:val="15"/>
                <w:vertAlign w:val="subscript"/>
              </w:rPr>
              <w:t>2</w:t>
            </w:r>
            <w:r w:rsidRPr="00767234">
              <w:rPr>
                <w:rFonts w:asciiTheme="majorHAnsi" w:hAnsiTheme="majorHAnsi" w:cstheme="majorHAnsi"/>
                <w:sz w:val="15"/>
                <w:szCs w:val="15"/>
              </w:rPr>
              <w:t xml:space="preserve"> on ABG within 4 hours of arrival of &lt;88%, 88-96% and &gt;96% in patients </w:t>
            </w:r>
            <w:r w:rsidRPr="00245110">
              <w:rPr>
                <w:rFonts w:asciiTheme="majorHAnsi" w:hAnsiTheme="majorHAnsi" w:cstheme="majorHAnsi"/>
                <w:sz w:val="15"/>
                <w:szCs w:val="15"/>
              </w:rPr>
              <w:t xml:space="preserve">brought to hospital by </w:t>
            </w:r>
            <w:r w:rsidRPr="00FB1BDA">
              <w:rPr>
                <w:rFonts w:asciiTheme="majorHAnsi" w:hAnsiTheme="majorHAnsi" w:cstheme="majorHAnsi"/>
                <w:sz w:val="16"/>
                <w:szCs w:val="16"/>
              </w:rPr>
              <w:t xml:space="preserve">EMS and found a </w:t>
            </w:r>
            <w:r>
              <w:rPr>
                <w:rFonts w:asciiTheme="majorHAnsi" w:hAnsiTheme="majorHAnsi" w:cstheme="majorHAnsi"/>
                <w:sz w:val="16"/>
                <w:szCs w:val="16"/>
              </w:rPr>
              <w:t>hazard ratio (</w:t>
            </w:r>
            <w:r w:rsidRPr="00FB1BDA">
              <w:rPr>
                <w:rFonts w:asciiTheme="majorHAnsi" w:hAnsiTheme="majorHAnsi" w:cstheme="majorHAnsi"/>
                <w:sz w:val="16"/>
                <w:szCs w:val="16"/>
              </w:rPr>
              <w:t>HR</w:t>
            </w:r>
            <w:r>
              <w:rPr>
                <w:rFonts w:asciiTheme="majorHAnsi" w:hAnsiTheme="majorHAnsi" w:cstheme="majorHAnsi"/>
                <w:sz w:val="16"/>
                <w:szCs w:val="16"/>
              </w:rPr>
              <w:t>)</w:t>
            </w:r>
            <w:r w:rsidRPr="00FB1BDA">
              <w:rPr>
                <w:rFonts w:asciiTheme="majorHAnsi" w:hAnsiTheme="majorHAnsi" w:cstheme="majorHAnsi"/>
                <w:sz w:val="16"/>
                <w:szCs w:val="16"/>
              </w:rPr>
              <w:t xml:space="preserve"> of 9 for saturation &gt;96%</w:t>
            </w:r>
            <w:r w:rsidRPr="00245110">
              <w:rPr>
                <w:rFonts w:asciiTheme="majorHAnsi" w:hAnsiTheme="majorHAnsi" w:cstheme="majorHAnsi"/>
                <w:sz w:val="16"/>
                <w:szCs w:val="16"/>
              </w:rPr>
              <w:t xml:space="preserve"> and 2 </w:t>
            </w:r>
            <w:r w:rsidRPr="00245110">
              <w:rPr>
                <w:rFonts w:asciiTheme="majorHAnsi" w:hAnsiTheme="majorHAnsi" w:cstheme="majorHAnsi"/>
                <w:sz w:val="15"/>
                <w:szCs w:val="15"/>
              </w:rPr>
              <w:t>for saturations &lt;88%</w:t>
            </w:r>
          </w:p>
        </w:tc>
      </w:tr>
      <w:tr w:rsidR="008102D2" w:rsidRPr="00767234" w14:paraId="5D17CFA7" w14:textId="77777777" w:rsidTr="009E14B4">
        <w:tc>
          <w:tcPr>
            <w:tcW w:w="1620" w:type="dxa"/>
          </w:tcPr>
          <w:p w14:paraId="31CA169F" w14:textId="77777777" w:rsidR="008102D2" w:rsidRPr="00767234" w:rsidRDefault="008102D2" w:rsidP="009E14B4">
            <w:pPr>
              <w:rPr>
                <w:rFonts w:asciiTheme="majorHAnsi" w:hAnsiTheme="majorHAnsi" w:cstheme="majorHAnsi"/>
                <w:noProof/>
                <w:sz w:val="15"/>
                <w:szCs w:val="15"/>
              </w:rPr>
            </w:pPr>
            <w:r w:rsidRPr="00767234">
              <w:rPr>
                <w:rFonts w:asciiTheme="majorHAnsi" w:hAnsiTheme="majorHAnsi" w:cstheme="majorHAnsi"/>
                <w:noProof/>
                <w:sz w:val="15"/>
                <w:szCs w:val="15"/>
              </w:rPr>
              <w:t xml:space="preserve">Lumholdt, M., et al., </w:t>
            </w:r>
            <w:r w:rsidRPr="00767234">
              <w:rPr>
                <w:rFonts w:asciiTheme="majorHAnsi" w:hAnsiTheme="majorHAnsi" w:cstheme="majorHAnsi"/>
                <w:i/>
                <w:noProof/>
                <w:sz w:val="15"/>
                <w:szCs w:val="15"/>
              </w:rPr>
              <w:t>Pre-hospital oxygen therapy and CO2 retention in patients admitted through the emergency department.</w:t>
            </w:r>
            <w:r w:rsidRPr="00767234">
              <w:rPr>
                <w:rFonts w:asciiTheme="majorHAnsi" w:hAnsiTheme="majorHAnsi" w:cstheme="majorHAnsi"/>
                <w:noProof/>
                <w:sz w:val="15"/>
                <w:szCs w:val="15"/>
              </w:rPr>
              <w:t xml:space="preserve"> BMJ Open, 2017. </w:t>
            </w:r>
            <w:r w:rsidRPr="00233325">
              <w:rPr>
                <w:rFonts w:asciiTheme="majorHAnsi" w:hAnsiTheme="majorHAnsi" w:cstheme="majorHAnsi"/>
                <w:bCs/>
                <w:noProof/>
                <w:sz w:val="15"/>
                <w:szCs w:val="15"/>
              </w:rPr>
              <w:t>7(Supplement 3):</w:t>
            </w:r>
            <w:r w:rsidRPr="00767234">
              <w:rPr>
                <w:rFonts w:asciiTheme="majorHAnsi" w:hAnsiTheme="majorHAnsi" w:cstheme="majorHAnsi"/>
                <w:noProof/>
                <w:sz w:val="15"/>
                <w:szCs w:val="15"/>
              </w:rPr>
              <w:t xml:space="preserve"> p. A8.</w:t>
            </w:r>
          </w:p>
        </w:tc>
        <w:tc>
          <w:tcPr>
            <w:tcW w:w="1170" w:type="dxa"/>
          </w:tcPr>
          <w:p w14:paraId="30D2A90E"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Retrospective observational</w:t>
            </w:r>
          </w:p>
        </w:tc>
        <w:tc>
          <w:tcPr>
            <w:tcW w:w="810" w:type="dxa"/>
          </w:tcPr>
          <w:p w14:paraId="1CAC4904"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Pre-hospital</w:t>
            </w:r>
          </w:p>
        </w:tc>
        <w:tc>
          <w:tcPr>
            <w:tcW w:w="990" w:type="dxa"/>
          </w:tcPr>
          <w:p w14:paraId="1879EA82"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 xml:space="preserve">Patients brought to Emergency Department (ED) with “respiratory conditions” </w:t>
            </w:r>
          </w:p>
        </w:tc>
        <w:tc>
          <w:tcPr>
            <w:tcW w:w="990" w:type="dxa"/>
          </w:tcPr>
          <w:p w14:paraId="18263EB7"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CO</w:t>
            </w:r>
            <w:r w:rsidRPr="00767234">
              <w:rPr>
                <w:rFonts w:asciiTheme="majorHAnsi" w:hAnsiTheme="majorHAnsi" w:cstheme="majorHAnsi"/>
                <w:bCs/>
                <w:sz w:val="15"/>
                <w:szCs w:val="15"/>
                <w:vertAlign w:val="subscript"/>
              </w:rPr>
              <w:t>2</w:t>
            </w:r>
            <w:r w:rsidRPr="00767234">
              <w:rPr>
                <w:rFonts w:asciiTheme="majorHAnsi" w:hAnsiTheme="majorHAnsi" w:cstheme="majorHAnsi"/>
                <w:bCs/>
                <w:sz w:val="15"/>
                <w:szCs w:val="15"/>
              </w:rPr>
              <w:t xml:space="preserve"> retention</w:t>
            </w:r>
          </w:p>
        </w:tc>
        <w:tc>
          <w:tcPr>
            <w:tcW w:w="990" w:type="dxa"/>
          </w:tcPr>
          <w:p w14:paraId="0E40C2E2"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No CO</w:t>
            </w:r>
            <w:r w:rsidRPr="00767234">
              <w:rPr>
                <w:rFonts w:asciiTheme="majorHAnsi" w:hAnsiTheme="majorHAnsi" w:cstheme="majorHAnsi"/>
                <w:bCs/>
                <w:sz w:val="15"/>
                <w:szCs w:val="15"/>
                <w:vertAlign w:val="subscript"/>
              </w:rPr>
              <w:t>2</w:t>
            </w:r>
            <w:r w:rsidRPr="00767234">
              <w:rPr>
                <w:rFonts w:asciiTheme="majorHAnsi" w:hAnsiTheme="majorHAnsi" w:cstheme="majorHAnsi"/>
                <w:bCs/>
                <w:sz w:val="15"/>
                <w:szCs w:val="15"/>
              </w:rPr>
              <w:t xml:space="preserve"> retention</w:t>
            </w:r>
          </w:p>
        </w:tc>
        <w:tc>
          <w:tcPr>
            <w:tcW w:w="2340" w:type="dxa"/>
          </w:tcPr>
          <w:p w14:paraId="658107C1"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Not applicable (N/A)</w:t>
            </w:r>
          </w:p>
        </w:tc>
        <w:tc>
          <w:tcPr>
            <w:tcW w:w="1710" w:type="dxa"/>
          </w:tcPr>
          <w:p w14:paraId="22136509" w14:textId="77777777" w:rsidR="008102D2" w:rsidRPr="00767234" w:rsidRDefault="008102D2" w:rsidP="009E14B4">
            <w:pPr>
              <w:rPr>
                <w:rFonts w:asciiTheme="majorHAnsi" w:hAnsiTheme="majorHAnsi" w:cstheme="majorHAnsi"/>
                <w:sz w:val="15"/>
                <w:szCs w:val="15"/>
              </w:rPr>
            </w:pPr>
            <w:r w:rsidRPr="00767234">
              <w:rPr>
                <w:rFonts w:asciiTheme="majorHAnsi" w:hAnsiTheme="majorHAnsi" w:cstheme="majorHAnsi"/>
                <w:sz w:val="15"/>
                <w:szCs w:val="15"/>
              </w:rPr>
              <w:t>111 patients with respiratory conditions brought to ED by EMS and found to have acidosis and CO</w:t>
            </w:r>
            <w:r w:rsidRPr="00767234">
              <w:rPr>
                <w:rFonts w:asciiTheme="majorHAnsi" w:hAnsiTheme="majorHAnsi" w:cstheme="majorHAnsi"/>
                <w:sz w:val="15"/>
                <w:szCs w:val="15"/>
                <w:vertAlign w:val="subscript"/>
              </w:rPr>
              <w:t>2</w:t>
            </w:r>
            <w:r w:rsidRPr="00767234">
              <w:rPr>
                <w:rFonts w:asciiTheme="majorHAnsi" w:hAnsiTheme="majorHAnsi" w:cstheme="majorHAnsi"/>
                <w:sz w:val="15"/>
                <w:szCs w:val="15"/>
              </w:rPr>
              <w:t xml:space="preserve"> retention.  They found the 11 patients with CO</w:t>
            </w:r>
            <w:r w:rsidRPr="00767234">
              <w:rPr>
                <w:rFonts w:asciiTheme="majorHAnsi" w:hAnsiTheme="majorHAnsi" w:cstheme="majorHAnsi"/>
                <w:sz w:val="15"/>
                <w:szCs w:val="15"/>
                <w:vertAlign w:val="subscript"/>
              </w:rPr>
              <w:t>2</w:t>
            </w:r>
            <w:r w:rsidRPr="00767234">
              <w:rPr>
                <w:rFonts w:asciiTheme="majorHAnsi" w:hAnsiTheme="majorHAnsi" w:cstheme="majorHAnsi"/>
                <w:sz w:val="15"/>
                <w:szCs w:val="15"/>
              </w:rPr>
              <w:t xml:space="preserve"> retention had a mean oxygen saturation of 84% on presentation to EMS and 95% on arrival </w:t>
            </w:r>
            <w:r w:rsidRPr="00767234">
              <w:rPr>
                <w:rFonts w:asciiTheme="majorHAnsi" w:hAnsiTheme="majorHAnsi" w:cstheme="majorHAnsi"/>
                <w:sz w:val="15"/>
                <w:szCs w:val="15"/>
              </w:rPr>
              <w:lastRenderedPageBreak/>
              <w:t>in ED.  They inferred this was due to excessive oxygen administration before arrival in hospital</w:t>
            </w:r>
          </w:p>
        </w:tc>
      </w:tr>
      <w:tr w:rsidR="008102D2" w:rsidRPr="00767234" w14:paraId="33084890" w14:textId="77777777" w:rsidTr="009E14B4">
        <w:tc>
          <w:tcPr>
            <w:tcW w:w="1620" w:type="dxa"/>
          </w:tcPr>
          <w:p w14:paraId="75861B26" w14:textId="77777777" w:rsidR="008102D2" w:rsidRPr="00767234" w:rsidRDefault="008102D2" w:rsidP="009E14B4">
            <w:pPr>
              <w:rPr>
                <w:rFonts w:asciiTheme="majorHAnsi" w:hAnsiTheme="majorHAnsi" w:cstheme="majorHAnsi"/>
                <w:noProof/>
                <w:sz w:val="15"/>
                <w:szCs w:val="15"/>
              </w:rPr>
            </w:pPr>
            <w:r w:rsidRPr="00767234">
              <w:rPr>
                <w:rFonts w:asciiTheme="majorHAnsi" w:hAnsiTheme="majorHAnsi" w:cstheme="majorHAnsi"/>
                <w:noProof/>
                <w:sz w:val="15"/>
                <w:szCs w:val="15"/>
              </w:rPr>
              <w:lastRenderedPageBreak/>
              <w:t xml:space="preserve">Bentsen, L.P., et al., </w:t>
            </w:r>
            <w:r w:rsidRPr="00767234">
              <w:rPr>
                <w:rFonts w:asciiTheme="majorHAnsi" w:hAnsiTheme="majorHAnsi" w:cstheme="majorHAnsi"/>
                <w:i/>
                <w:noProof/>
                <w:sz w:val="15"/>
                <w:szCs w:val="15"/>
              </w:rPr>
              <w:t>A change from high-flow to titrated oxygen therapy in the prehospital setting is associated with lower mortality in COPD patients with acute exacerbations: an observational cohort study.</w:t>
            </w:r>
            <w:r w:rsidRPr="00767234">
              <w:rPr>
                <w:rFonts w:asciiTheme="majorHAnsi" w:hAnsiTheme="majorHAnsi" w:cstheme="majorHAnsi"/>
                <w:noProof/>
                <w:sz w:val="15"/>
                <w:szCs w:val="15"/>
              </w:rPr>
              <w:t xml:space="preserve"> Acute Med, 2020. </w:t>
            </w:r>
            <w:r w:rsidRPr="00233325">
              <w:rPr>
                <w:rFonts w:asciiTheme="majorHAnsi" w:hAnsiTheme="majorHAnsi" w:cstheme="majorHAnsi"/>
                <w:bCs/>
                <w:noProof/>
                <w:sz w:val="15"/>
                <w:szCs w:val="15"/>
              </w:rPr>
              <w:t>19</w:t>
            </w:r>
            <w:r w:rsidRPr="00767234">
              <w:rPr>
                <w:rFonts w:asciiTheme="majorHAnsi" w:hAnsiTheme="majorHAnsi" w:cstheme="majorHAnsi"/>
                <w:noProof/>
                <w:sz w:val="15"/>
                <w:szCs w:val="15"/>
              </w:rPr>
              <w:t>(2): p. 76-82.</w:t>
            </w:r>
          </w:p>
        </w:tc>
        <w:tc>
          <w:tcPr>
            <w:tcW w:w="1170" w:type="dxa"/>
          </w:tcPr>
          <w:p w14:paraId="34CC66B5"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Retrospective observational</w:t>
            </w:r>
          </w:p>
        </w:tc>
        <w:tc>
          <w:tcPr>
            <w:tcW w:w="810" w:type="dxa"/>
          </w:tcPr>
          <w:p w14:paraId="208D08CB"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Pre-hospital</w:t>
            </w:r>
          </w:p>
        </w:tc>
        <w:tc>
          <w:tcPr>
            <w:tcW w:w="990" w:type="dxa"/>
          </w:tcPr>
          <w:p w14:paraId="5D9721D2"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COPD transported to hospital by Emergency Medical Services (EMS)</w:t>
            </w:r>
          </w:p>
        </w:tc>
        <w:tc>
          <w:tcPr>
            <w:tcW w:w="990" w:type="dxa"/>
          </w:tcPr>
          <w:p w14:paraId="09F95979"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Oxygen saturations 88-92% in care of EMS</w:t>
            </w:r>
          </w:p>
        </w:tc>
        <w:tc>
          <w:tcPr>
            <w:tcW w:w="990" w:type="dxa"/>
          </w:tcPr>
          <w:p w14:paraId="3DEA24D0"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Oxygen saturations &gt;92% in care of EMS</w:t>
            </w:r>
          </w:p>
        </w:tc>
        <w:tc>
          <w:tcPr>
            <w:tcW w:w="2340" w:type="dxa"/>
          </w:tcPr>
          <w:p w14:paraId="5A931FB2"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30-day mortality</w:t>
            </w:r>
          </w:p>
        </w:tc>
        <w:tc>
          <w:tcPr>
            <w:tcW w:w="1710" w:type="dxa"/>
          </w:tcPr>
          <w:p w14:paraId="5933CB3A" w14:textId="77777777" w:rsidR="008102D2" w:rsidRPr="00767234" w:rsidRDefault="008102D2" w:rsidP="009E14B4">
            <w:pPr>
              <w:rPr>
                <w:rFonts w:asciiTheme="majorHAnsi" w:hAnsiTheme="majorHAnsi" w:cstheme="majorHAnsi"/>
                <w:sz w:val="15"/>
                <w:szCs w:val="15"/>
              </w:rPr>
            </w:pPr>
            <w:r w:rsidRPr="00767234">
              <w:rPr>
                <w:rFonts w:asciiTheme="majorHAnsi" w:hAnsiTheme="majorHAnsi" w:cstheme="majorHAnsi"/>
                <w:sz w:val="15"/>
                <w:szCs w:val="15"/>
              </w:rPr>
              <w:t>30-day mortality of 707 patients with COPD brought to hospital with either high flow or oxygen titrated to saturations of 88-92%.  They found a relative risk (RR) of 4 for 30-day mortality for high flow oxygen in 178 with acute exacerbation of COPD, but no significant difference in the whole group with COPD They noted differences from Austin et al due to different patient groups.</w:t>
            </w:r>
          </w:p>
        </w:tc>
      </w:tr>
      <w:tr w:rsidR="008102D2" w:rsidRPr="00767234" w14:paraId="0EE124DA" w14:textId="77777777" w:rsidTr="009E14B4">
        <w:tc>
          <w:tcPr>
            <w:tcW w:w="1620" w:type="dxa"/>
          </w:tcPr>
          <w:p w14:paraId="5FD483A5" w14:textId="77777777" w:rsidR="008102D2" w:rsidRPr="00767234" w:rsidRDefault="008102D2" w:rsidP="009E14B4">
            <w:pPr>
              <w:rPr>
                <w:rFonts w:asciiTheme="majorHAnsi" w:hAnsiTheme="majorHAnsi" w:cstheme="majorHAnsi"/>
                <w:noProof/>
                <w:sz w:val="15"/>
                <w:szCs w:val="15"/>
              </w:rPr>
            </w:pPr>
            <w:r w:rsidRPr="00767234">
              <w:rPr>
                <w:rFonts w:asciiTheme="majorHAnsi" w:hAnsiTheme="majorHAnsi" w:cstheme="majorHAnsi"/>
                <w:noProof/>
                <w:sz w:val="15"/>
                <w:szCs w:val="15"/>
              </w:rPr>
              <w:t xml:space="preserve">Barnett, A., et al., </w:t>
            </w:r>
            <w:r w:rsidRPr="00767234">
              <w:rPr>
                <w:rFonts w:asciiTheme="majorHAnsi" w:hAnsiTheme="majorHAnsi" w:cstheme="majorHAnsi"/>
                <w:i/>
                <w:noProof/>
                <w:sz w:val="15"/>
                <w:szCs w:val="15"/>
              </w:rPr>
              <w:t>Thoracic Society of Australia and New Zealand Position Statement on Acute Oxygen Use in Adults: 'Swimming between the flags'.</w:t>
            </w:r>
            <w:r w:rsidRPr="00767234">
              <w:rPr>
                <w:rFonts w:asciiTheme="majorHAnsi" w:hAnsiTheme="majorHAnsi" w:cstheme="majorHAnsi"/>
                <w:noProof/>
                <w:sz w:val="15"/>
                <w:szCs w:val="15"/>
              </w:rPr>
              <w:t xml:space="preserve"> Respirology, 2022. </w:t>
            </w:r>
            <w:r w:rsidRPr="00233325">
              <w:rPr>
                <w:rFonts w:asciiTheme="majorHAnsi" w:hAnsiTheme="majorHAnsi" w:cstheme="majorHAnsi"/>
                <w:bCs/>
                <w:noProof/>
                <w:sz w:val="15"/>
                <w:szCs w:val="15"/>
              </w:rPr>
              <w:t>27</w:t>
            </w:r>
            <w:r w:rsidRPr="00767234">
              <w:rPr>
                <w:rFonts w:asciiTheme="majorHAnsi" w:hAnsiTheme="majorHAnsi" w:cstheme="majorHAnsi"/>
                <w:noProof/>
                <w:sz w:val="15"/>
                <w:szCs w:val="15"/>
              </w:rPr>
              <w:t>(4): p. 262-276.</w:t>
            </w:r>
          </w:p>
        </w:tc>
        <w:tc>
          <w:tcPr>
            <w:tcW w:w="1170" w:type="dxa"/>
          </w:tcPr>
          <w:p w14:paraId="76CB27C8"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Guideline</w:t>
            </w:r>
          </w:p>
        </w:tc>
        <w:tc>
          <w:tcPr>
            <w:tcW w:w="810" w:type="dxa"/>
          </w:tcPr>
          <w:p w14:paraId="6AC21180"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Pre and in hospital</w:t>
            </w:r>
          </w:p>
        </w:tc>
        <w:tc>
          <w:tcPr>
            <w:tcW w:w="990" w:type="dxa"/>
          </w:tcPr>
          <w:p w14:paraId="3226406E"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COPD</w:t>
            </w:r>
          </w:p>
        </w:tc>
        <w:tc>
          <w:tcPr>
            <w:tcW w:w="990" w:type="dxa"/>
          </w:tcPr>
          <w:p w14:paraId="00828924"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N/A</w:t>
            </w:r>
          </w:p>
        </w:tc>
        <w:tc>
          <w:tcPr>
            <w:tcW w:w="990" w:type="dxa"/>
          </w:tcPr>
          <w:p w14:paraId="2AD3E101" w14:textId="77777777" w:rsidR="008102D2" w:rsidRPr="00767234" w:rsidRDefault="008102D2" w:rsidP="009E14B4">
            <w:pPr>
              <w:rPr>
                <w:rFonts w:asciiTheme="majorHAnsi" w:hAnsiTheme="majorHAnsi" w:cstheme="majorHAnsi"/>
                <w:bCs/>
                <w:sz w:val="15"/>
                <w:szCs w:val="15"/>
              </w:rPr>
            </w:pPr>
            <w:r w:rsidRPr="00767234">
              <w:rPr>
                <w:rFonts w:asciiTheme="majorHAnsi" w:hAnsiTheme="majorHAnsi" w:cstheme="majorHAnsi"/>
                <w:bCs/>
                <w:sz w:val="15"/>
                <w:szCs w:val="15"/>
              </w:rPr>
              <w:t>N/A</w:t>
            </w:r>
          </w:p>
        </w:tc>
        <w:tc>
          <w:tcPr>
            <w:tcW w:w="2340" w:type="dxa"/>
          </w:tcPr>
          <w:p w14:paraId="1D6B9C50" w14:textId="77777777" w:rsidR="008102D2" w:rsidRPr="00767234" w:rsidRDefault="008102D2" w:rsidP="009E14B4">
            <w:pPr>
              <w:pStyle w:val="NormalWeb"/>
              <w:rPr>
                <w:rFonts w:asciiTheme="majorHAnsi" w:hAnsiTheme="majorHAnsi" w:cstheme="majorHAnsi"/>
                <w:sz w:val="15"/>
                <w:szCs w:val="15"/>
              </w:rPr>
            </w:pPr>
            <w:r w:rsidRPr="00767234">
              <w:rPr>
                <w:rFonts w:asciiTheme="majorHAnsi" w:hAnsiTheme="majorHAnsi" w:cstheme="majorHAnsi"/>
                <w:sz w:val="15"/>
                <w:szCs w:val="15"/>
              </w:rPr>
              <w:t>N/A</w:t>
            </w:r>
          </w:p>
        </w:tc>
        <w:tc>
          <w:tcPr>
            <w:tcW w:w="1710" w:type="dxa"/>
          </w:tcPr>
          <w:p w14:paraId="445869D7" w14:textId="77777777" w:rsidR="008102D2" w:rsidRPr="00767234" w:rsidRDefault="008102D2" w:rsidP="009E14B4">
            <w:pPr>
              <w:rPr>
                <w:rFonts w:asciiTheme="majorHAnsi" w:hAnsiTheme="majorHAnsi" w:cstheme="majorHAnsi"/>
                <w:sz w:val="15"/>
                <w:szCs w:val="15"/>
              </w:rPr>
            </w:pPr>
            <w:r w:rsidRPr="00767234">
              <w:rPr>
                <w:rFonts w:asciiTheme="majorHAnsi" w:hAnsiTheme="majorHAnsi" w:cstheme="majorHAnsi"/>
                <w:sz w:val="15"/>
                <w:szCs w:val="15"/>
              </w:rPr>
              <w:t xml:space="preserve">Key recommendations relevant to the current PICOST </w:t>
            </w:r>
            <w:proofErr w:type="gramStart"/>
            <w:r w:rsidRPr="00767234">
              <w:rPr>
                <w:rFonts w:asciiTheme="majorHAnsi" w:hAnsiTheme="majorHAnsi" w:cstheme="majorHAnsi"/>
                <w:sz w:val="15"/>
                <w:szCs w:val="15"/>
              </w:rPr>
              <w:t>are:</w:t>
            </w:r>
            <w:proofErr w:type="gramEnd"/>
            <w:r w:rsidRPr="00767234">
              <w:rPr>
                <w:rFonts w:asciiTheme="majorHAnsi" w:hAnsiTheme="majorHAnsi" w:cstheme="majorHAnsi"/>
                <w:sz w:val="15"/>
                <w:szCs w:val="15"/>
              </w:rPr>
              <w:t xml:space="preserve"> assess oxygenation, oxygen requires prescription and to set oxygen saturation targets of 88-92% for potential hypercapnia, 92-96% for others</w:t>
            </w:r>
          </w:p>
        </w:tc>
      </w:tr>
    </w:tbl>
    <w:p w14:paraId="6E4F82C7" w14:textId="77777777" w:rsidR="008102D2" w:rsidRDefault="008102D2" w:rsidP="008102D2">
      <w:pPr>
        <w:jc w:val="both"/>
        <w:rPr>
          <w:rFonts w:asciiTheme="majorHAnsi" w:hAnsiTheme="majorHAnsi" w:cstheme="majorHAnsi"/>
          <w:sz w:val="20"/>
        </w:rPr>
      </w:pPr>
    </w:p>
    <w:p w14:paraId="7B590659" w14:textId="77777777" w:rsidR="008102D2" w:rsidRDefault="008102D2" w:rsidP="008102D2">
      <w:pPr>
        <w:jc w:val="both"/>
        <w:rPr>
          <w:rFonts w:asciiTheme="majorHAnsi" w:eastAsia="Calibri" w:hAnsiTheme="majorHAnsi" w:cstheme="majorHAnsi"/>
          <w:sz w:val="22"/>
          <w:szCs w:val="22"/>
        </w:rPr>
      </w:pPr>
      <w:r>
        <w:rPr>
          <w:rFonts w:asciiTheme="majorHAnsi" w:eastAsia="Calibri" w:hAnsiTheme="majorHAnsi" w:cstheme="majorHAnsi"/>
          <w:sz w:val="22"/>
          <w:szCs w:val="22"/>
        </w:rPr>
        <w:t>Abbreviations:</w:t>
      </w:r>
    </w:p>
    <w:p w14:paraId="2155807E"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AECOPD</w:t>
      </w:r>
      <w:r>
        <w:rPr>
          <w:rFonts w:asciiTheme="majorHAnsi" w:hAnsiTheme="majorHAnsi" w:cstheme="majorHAnsi"/>
          <w:color w:val="000000"/>
          <w:sz w:val="20"/>
          <w:szCs w:val="20"/>
        </w:rPr>
        <w:tab/>
        <w:t>acute exacerbation of COPD</w:t>
      </w:r>
    </w:p>
    <w:p w14:paraId="682F147F"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CO</w:t>
      </w:r>
      <w:r w:rsidRPr="00A66C03">
        <w:rPr>
          <w:rFonts w:asciiTheme="majorHAnsi" w:hAnsiTheme="majorHAnsi" w:cstheme="majorHAnsi"/>
          <w:color w:val="000000"/>
          <w:sz w:val="20"/>
          <w:szCs w:val="20"/>
          <w:vertAlign w:val="subscript"/>
        </w:rPr>
        <w:t>2</w:t>
      </w:r>
      <w:r>
        <w:rPr>
          <w:rFonts w:asciiTheme="majorHAnsi" w:hAnsiTheme="majorHAnsi" w:cstheme="majorHAnsi"/>
          <w:color w:val="000000"/>
          <w:sz w:val="20"/>
          <w:szCs w:val="20"/>
        </w:rPr>
        <w:tab/>
        <w:t>carbon dioxide</w:t>
      </w:r>
    </w:p>
    <w:p w14:paraId="71324B36"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COPD</w:t>
      </w:r>
      <w:r>
        <w:rPr>
          <w:rFonts w:asciiTheme="majorHAnsi" w:hAnsiTheme="majorHAnsi" w:cstheme="majorHAnsi"/>
          <w:color w:val="000000"/>
          <w:sz w:val="20"/>
          <w:szCs w:val="20"/>
        </w:rPr>
        <w:tab/>
        <w:t>chronic obstructive pulmonary disease</w:t>
      </w:r>
    </w:p>
    <w:p w14:paraId="317C5938"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ED</w:t>
      </w:r>
      <w:r>
        <w:rPr>
          <w:rFonts w:asciiTheme="majorHAnsi" w:hAnsiTheme="majorHAnsi" w:cstheme="majorHAnsi"/>
          <w:color w:val="000000"/>
          <w:sz w:val="20"/>
          <w:szCs w:val="20"/>
        </w:rPr>
        <w:tab/>
        <w:t>emergency department</w:t>
      </w:r>
    </w:p>
    <w:p w14:paraId="0A7783E7"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EMS</w:t>
      </w:r>
      <w:r>
        <w:rPr>
          <w:rFonts w:asciiTheme="majorHAnsi" w:hAnsiTheme="majorHAnsi" w:cstheme="majorHAnsi"/>
          <w:color w:val="000000"/>
          <w:sz w:val="20"/>
          <w:szCs w:val="20"/>
        </w:rPr>
        <w:tab/>
        <w:t>emergency medical services</w:t>
      </w:r>
    </w:p>
    <w:p w14:paraId="260BDE21"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HR</w:t>
      </w:r>
      <w:r>
        <w:rPr>
          <w:rFonts w:asciiTheme="majorHAnsi" w:hAnsiTheme="majorHAnsi" w:cstheme="majorHAnsi"/>
          <w:color w:val="000000"/>
          <w:sz w:val="20"/>
          <w:szCs w:val="20"/>
        </w:rPr>
        <w:tab/>
        <w:t>hazard ratio</w:t>
      </w:r>
    </w:p>
    <w:p w14:paraId="30556E15" w14:textId="77777777" w:rsidR="008102D2" w:rsidRDefault="008102D2" w:rsidP="008102D2">
      <w:pPr>
        <w:jc w:val="both"/>
        <w:rPr>
          <w:rFonts w:asciiTheme="majorHAnsi" w:hAnsiTheme="majorHAnsi" w:cstheme="majorHAnsi"/>
          <w:color w:val="000000"/>
          <w:sz w:val="20"/>
          <w:szCs w:val="20"/>
        </w:rPr>
      </w:pPr>
      <w:r w:rsidRPr="00A66C03">
        <w:rPr>
          <w:rFonts w:asciiTheme="majorHAnsi" w:hAnsiTheme="majorHAnsi" w:cstheme="majorHAnsi"/>
          <w:color w:val="000000"/>
          <w:sz w:val="20"/>
          <w:szCs w:val="20"/>
        </w:rPr>
        <w:t>ICU</w:t>
      </w:r>
      <w:r>
        <w:rPr>
          <w:rFonts w:asciiTheme="majorHAnsi" w:hAnsiTheme="majorHAnsi" w:cstheme="majorHAnsi"/>
          <w:color w:val="000000"/>
          <w:sz w:val="20"/>
          <w:szCs w:val="20"/>
        </w:rPr>
        <w:tab/>
        <w:t>intensive care unit</w:t>
      </w:r>
    </w:p>
    <w:p w14:paraId="586CEA27" w14:textId="77777777" w:rsidR="008102D2" w:rsidRDefault="008102D2" w:rsidP="008102D2">
      <w:pPr>
        <w:jc w:val="both"/>
        <w:rPr>
          <w:rFonts w:asciiTheme="majorHAnsi" w:hAnsiTheme="majorHAnsi" w:cstheme="majorHAnsi"/>
          <w:color w:val="000000"/>
          <w:sz w:val="20"/>
          <w:szCs w:val="20"/>
        </w:rPr>
      </w:pPr>
      <w:proofErr w:type="gramStart"/>
      <w:r w:rsidRPr="00A66C03">
        <w:rPr>
          <w:rFonts w:asciiTheme="majorHAnsi" w:hAnsiTheme="majorHAnsi" w:cstheme="majorHAnsi"/>
          <w:color w:val="000000"/>
          <w:sz w:val="20"/>
          <w:szCs w:val="20"/>
        </w:rPr>
        <w:t>LOS</w:t>
      </w:r>
      <w:proofErr w:type="gramEnd"/>
      <w:r>
        <w:rPr>
          <w:rFonts w:asciiTheme="majorHAnsi" w:hAnsiTheme="majorHAnsi" w:cstheme="majorHAnsi"/>
          <w:color w:val="000000"/>
          <w:sz w:val="20"/>
          <w:szCs w:val="20"/>
        </w:rPr>
        <w:tab/>
        <w:t>length of stay</w:t>
      </w:r>
    </w:p>
    <w:p w14:paraId="655FC1CB" w14:textId="77777777" w:rsidR="008102D2" w:rsidRDefault="008102D2" w:rsidP="008102D2">
      <w:pPr>
        <w:jc w:val="both"/>
        <w:rPr>
          <w:rFonts w:asciiTheme="majorHAnsi" w:hAnsiTheme="majorHAnsi" w:cstheme="majorHAnsi"/>
          <w:color w:val="000000"/>
          <w:sz w:val="20"/>
          <w:szCs w:val="20"/>
        </w:rPr>
      </w:pPr>
      <w:r>
        <w:rPr>
          <w:rFonts w:asciiTheme="majorHAnsi" w:hAnsiTheme="majorHAnsi" w:cstheme="majorHAnsi"/>
          <w:color w:val="000000"/>
          <w:sz w:val="20"/>
          <w:szCs w:val="20"/>
        </w:rPr>
        <w:t>N/A</w:t>
      </w:r>
      <w:r>
        <w:rPr>
          <w:rFonts w:asciiTheme="majorHAnsi" w:hAnsiTheme="majorHAnsi" w:cstheme="majorHAnsi"/>
          <w:color w:val="000000"/>
          <w:sz w:val="20"/>
          <w:szCs w:val="20"/>
        </w:rPr>
        <w:tab/>
        <w:t>not applicable</w:t>
      </w:r>
    </w:p>
    <w:p w14:paraId="259A6A9B" w14:textId="77777777" w:rsidR="008102D2" w:rsidRDefault="008102D2" w:rsidP="008102D2">
      <w:pPr>
        <w:jc w:val="both"/>
        <w:rPr>
          <w:rFonts w:asciiTheme="majorHAnsi" w:hAnsiTheme="majorHAnsi" w:cstheme="majorHAnsi"/>
          <w:color w:val="000000"/>
          <w:sz w:val="20"/>
          <w:szCs w:val="20"/>
        </w:rPr>
      </w:pPr>
      <w:r w:rsidRPr="00A66C03">
        <w:rPr>
          <w:rFonts w:asciiTheme="majorHAnsi" w:hAnsiTheme="majorHAnsi" w:cstheme="majorHAnsi"/>
          <w:color w:val="000000"/>
          <w:sz w:val="20"/>
          <w:szCs w:val="20"/>
        </w:rPr>
        <w:t>RCT</w:t>
      </w:r>
      <w:r>
        <w:rPr>
          <w:rFonts w:asciiTheme="majorHAnsi" w:hAnsiTheme="majorHAnsi" w:cstheme="majorHAnsi"/>
          <w:color w:val="000000"/>
          <w:sz w:val="20"/>
          <w:szCs w:val="20"/>
        </w:rPr>
        <w:tab/>
        <w:t>randomized controlled trial</w:t>
      </w:r>
      <w:r>
        <w:rPr>
          <w:rFonts w:asciiTheme="majorHAnsi" w:hAnsiTheme="majorHAnsi" w:cstheme="majorHAnsi"/>
          <w:color w:val="000000"/>
          <w:sz w:val="20"/>
          <w:szCs w:val="20"/>
        </w:rPr>
        <w:tab/>
      </w:r>
    </w:p>
    <w:p w14:paraId="2FF87854" w14:textId="77777777" w:rsidR="008102D2" w:rsidRPr="00A66C03" w:rsidRDefault="008102D2" w:rsidP="008102D2">
      <w:pPr>
        <w:jc w:val="both"/>
        <w:rPr>
          <w:rFonts w:asciiTheme="majorHAnsi" w:eastAsia="Calibri" w:hAnsiTheme="majorHAnsi" w:cstheme="majorHAnsi"/>
          <w:sz w:val="20"/>
          <w:szCs w:val="20"/>
        </w:rPr>
      </w:pPr>
      <w:r w:rsidRPr="00A66C03">
        <w:rPr>
          <w:rFonts w:asciiTheme="majorHAnsi" w:hAnsiTheme="majorHAnsi" w:cstheme="majorHAnsi"/>
          <w:color w:val="000000"/>
          <w:sz w:val="20"/>
          <w:szCs w:val="20"/>
        </w:rPr>
        <w:t>RR</w:t>
      </w:r>
      <w:r>
        <w:rPr>
          <w:rFonts w:asciiTheme="majorHAnsi" w:hAnsiTheme="majorHAnsi" w:cstheme="majorHAnsi"/>
          <w:color w:val="000000"/>
          <w:sz w:val="20"/>
          <w:szCs w:val="20"/>
        </w:rPr>
        <w:tab/>
        <w:t>relative risk</w:t>
      </w:r>
    </w:p>
    <w:p w14:paraId="2B5B46FC" w14:textId="77777777" w:rsidR="008102D2" w:rsidRDefault="008102D2"/>
    <w:sectPr w:rsidR="0081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D2"/>
    <w:rsid w:val="008102D2"/>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CF310"/>
  <w15:chartTrackingRefBased/>
  <w15:docId w15:val="{121FB5E7-8204-F648-BA6F-81C4579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D2"/>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2D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102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8102D2"/>
  </w:style>
  <w:style w:type="character" w:customStyle="1" w:styleId="docsum-journal-citation">
    <w:name w:val="docsum-journal-citation"/>
    <w:basedOn w:val="DefaultParagraphFont"/>
    <w:rsid w:val="008102D2"/>
  </w:style>
  <w:style w:type="character" w:customStyle="1" w:styleId="citation-part">
    <w:name w:val="citation-part"/>
    <w:basedOn w:val="DefaultParagraphFont"/>
    <w:rsid w:val="008102D2"/>
  </w:style>
  <w:style w:type="character" w:customStyle="1" w:styleId="docsum-pmid">
    <w:name w:val="docsum-pmid"/>
    <w:basedOn w:val="DefaultParagraphFont"/>
    <w:rsid w:val="0081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2022-12-06T17:26:00Z</dcterms:created>
  <dcterms:modified xsi:type="dcterms:W3CDTF">2022-12-06T17:27:00Z</dcterms:modified>
</cp:coreProperties>
</file>