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F5D" w:rsidRDefault="00000000">
      <w:pPr>
        <w:rPr>
          <w:b/>
          <w:sz w:val="20"/>
          <w:szCs w:val="20"/>
        </w:rPr>
      </w:pPr>
      <w:r>
        <w:rPr>
          <w:b/>
        </w:rPr>
        <w:t xml:space="preserve">Question: </w:t>
      </w:r>
      <w:r>
        <w:t xml:space="preserve">Do brain CT or brain MRI </w:t>
      </w:r>
      <w:r>
        <w:rPr>
          <w:color w:val="000000"/>
        </w:rPr>
        <w:t xml:space="preserve">assessed within one week from cardiac arrest </w:t>
      </w:r>
      <w:r>
        <w:t>predict favorable neurologic outcome at hospital discharge to 6 months after arrest for patients comatose after cardiac arrest?</w:t>
      </w:r>
    </w:p>
    <w:p w:rsidR="00BB7F5D" w:rsidRDefault="00BB7F5D">
      <w:pPr>
        <w:rPr>
          <w:b/>
          <w:sz w:val="20"/>
          <w:szCs w:val="20"/>
        </w:rPr>
      </w:pPr>
    </w:p>
    <w:tbl>
      <w:tblPr>
        <w:tblStyle w:val="a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1194"/>
        <w:gridCol w:w="1050"/>
        <w:gridCol w:w="1501"/>
        <w:gridCol w:w="1019"/>
        <w:gridCol w:w="1170"/>
        <w:gridCol w:w="1192"/>
        <w:gridCol w:w="1144"/>
        <w:gridCol w:w="1159"/>
      </w:tblGrid>
      <w:tr w:rsidR="00BB7F5D">
        <w:trPr>
          <w:trHeight w:val="261"/>
        </w:trPr>
        <w:tc>
          <w:tcPr>
            <w:tcW w:w="7935" w:type="dxa"/>
            <w:gridSpan w:val="7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Certainty Assessment</w:t>
            </w:r>
          </w:p>
        </w:tc>
        <w:tc>
          <w:tcPr>
            <w:tcW w:w="1144" w:type="dxa"/>
            <w:vMerge w:val="restart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Certainty</w:t>
            </w:r>
          </w:p>
        </w:tc>
        <w:tc>
          <w:tcPr>
            <w:tcW w:w="1159" w:type="dxa"/>
            <w:vMerge w:val="restart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Importance</w:t>
            </w:r>
          </w:p>
        </w:tc>
      </w:tr>
      <w:tr w:rsidR="00BB7F5D">
        <w:trPr>
          <w:trHeight w:val="660"/>
        </w:trPr>
        <w:tc>
          <w:tcPr>
            <w:tcW w:w="809" w:type="dxa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No of Studies</w:t>
            </w:r>
          </w:p>
        </w:tc>
        <w:tc>
          <w:tcPr>
            <w:tcW w:w="1194" w:type="dxa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Study Design</w:t>
            </w:r>
          </w:p>
        </w:tc>
        <w:tc>
          <w:tcPr>
            <w:tcW w:w="1050" w:type="dxa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1501" w:type="dxa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1019" w:type="dxa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1170" w:type="dxa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1192" w:type="dxa"/>
            <w:shd w:val="clear" w:color="auto" w:fill="4472C4"/>
          </w:tcPr>
          <w:p w:rsidR="00BB7F5D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Other Considerations</w:t>
            </w:r>
          </w:p>
        </w:tc>
        <w:tc>
          <w:tcPr>
            <w:tcW w:w="1144" w:type="dxa"/>
            <w:vMerge/>
            <w:shd w:val="clear" w:color="auto" w:fill="4472C4"/>
          </w:tcPr>
          <w:p w:rsidR="00BB7F5D" w:rsidRDefault="00BB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4472C4"/>
          </w:tcPr>
          <w:p w:rsidR="00BB7F5D" w:rsidRDefault="00BB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16"/>
                <w:szCs w:val="16"/>
              </w:rPr>
            </w:pPr>
          </w:p>
        </w:tc>
      </w:tr>
    </w:tbl>
    <w:p w:rsidR="00BB7F5D" w:rsidRDefault="00BB7F5D"/>
    <w:p w:rsidR="00BB7F5D" w:rsidRDefault="00000000">
      <w:pPr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Grey matter to white matter ratio (GWR) &gt;1.25 on brain CT</w:t>
      </w:r>
    </w:p>
    <w:tbl>
      <w:tblPr>
        <w:tblStyle w:val="a0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200"/>
        <w:gridCol w:w="1060"/>
        <w:gridCol w:w="1491"/>
        <w:gridCol w:w="992"/>
        <w:gridCol w:w="1129"/>
        <w:gridCol w:w="1536"/>
        <w:gridCol w:w="905"/>
        <w:gridCol w:w="1122"/>
      </w:tblGrid>
      <w:tr w:rsidR="00BB7F5D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bookmarkStart w:id="1" w:name="bookmark=id.30j0zll" w:colFirst="0" w:colLast="0"/>
            <w:bookmarkEnd w:id="1"/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study (67 patients)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BB7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</w:tr>
    </w:tbl>
    <w:p w:rsidR="00BB7F5D" w:rsidRDefault="00BB7F5D"/>
    <w:p w:rsidR="00BB7F5D" w:rsidRDefault="00000000">
      <w:pPr>
        <w:jc w:val="both"/>
        <w:rPr>
          <w:b/>
          <w:sz w:val="20"/>
          <w:szCs w:val="20"/>
        </w:rPr>
      </w:pPr>
      <w:bookmarkStart w:id="2" w:name="_heading=h.1fob9te" w:colFirst="0" w:colLast="0"/>
      <w:bookmarkEnd w:id="2"/>
      <w:r>
        <w:rPr>
          <w:b/>
          <w:sz w:val="20"/>
          <w:szCs w:val="20"/>
        </w:rPr>
        <w:t>Quantitative regional abnormality (QRA) ≤5 on brain CT</w:t>
      </w:r>
    </w:p>
    <w:tbl>
      <w:tblPr>
        <w:tblStyle w:val="a1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200"/>
        <w:gridCol w:w="1060"/>
        <w:gridCol w:w="1491"/>
        <w:gridCol w:w="992"/>
        <w:gridCol w:w="1129"/>
        <w:gridCol w:w="1536"/>
        <w:gridCol w:w="905"/>
        <w:gridCol w:w="1122"/>
      </w:tblGrid>
      <w:tr w:rsidR="00BB7F5D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study (67 patients)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BB7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</w:tr>
    </w:tbl>
    <w:p w:rsidR="00BB7F5D" w:rsidRDefault="00BB7F5D"/>
    <w:p w:rsidR="00BB7F5D" w:rsidRDefault="00000000">
      <w:pPr>
        <w:spacing w:before="240"/>
        <w:jc w:val="both"/>
        <w:rPr>
          <w:b/>
          <w:sz w:val="20"/>
          <w:szCs w:val="20"/>
        </w:rPr>
      </w:pPr>
      <w:bookmarkStart w:id="3" w:name="_heading=h.3znysh7" w:colFirst="0" w:colLast="0"/>
      <w:bookmarkEnd w:id="3"/>
      <w:r>
        <w:rPr>
          <w:b/>
          <w:sz w:val="20"/>
          <w:szCs w:val="20"/>
        </w:rPr>
        <w:t>Alberta Stroke Program Early CT Score (ASPECTS-b) ≥15 on brain CT</w:t>
      </w:r>
    </w:p>
    <w:tbl>
      <w:tblPr>
        <w:tblStyle w:val="a2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200"/>
        <w:gridCol w:w="1060"/>
        <w:gridCol w:w="1491"/>
        <w:gridCol w:w="992"/>
        <w:gridCol w:w="1129"/>
        <w:gridCol w:w="1536"/>
        <w:gridCol w:w="905"/>
        <w:gridCol w:w="1122"/>
      </w:tblGrid>
      <w:tr w:rsidR="00BB7F5D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study (67 patients)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BB7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</w:tr>
    </w:tbl>
    <w:p w:rsidR="00BB7F5D" w:rsidRDefault="00BB7F5D"/>
    <w:p w:rsidR="00BB7F5D" w:rsidRDefault="00000000">
      <w:pPr>
        <w:spacing w:before="240"/>
        <w:jc w:val="both"/>
        <w:rPr>
          <w:b/>
          <w:sz w:val="20"/>
          <w:szCs w:val="20"/>
        </w:rPr>
      </w:pPr>
      <w:bookmarkStart w:id="4" w:name="_heading=h.2et92p0" w:colFirst="0" w:colLast="0"/>
      <w:bookmarkEnd w:id="4"/>
      <w:r>
        <w:rPr>
          <w:b/>
          <w:sz w:val="20"/>
          <w:szCs w:val="20"/>
        </w:rPr>
        <w:t>Reduced diffusion on brain MRI</w:t>
      </w:r>
    </w:p>
    <w:tbl>
      <w:tblPr>
        <w:tblStyle w:val="a3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200"/>
        <w:gridCol w:w="1060"/>
        <w:gridCol w:w="1491"/>
        <w:gridCol w:w="992"/>
        <w:gridCol w:w="1129"/>
        <w:gridCol w:w="1536"/>
        <w:gridCol w:w="905"/>
        <w:gridCol w:w="1122"/>
      </w:tblGrid>
      <w:tr w:rsidR="00BB7F5D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studies (300 patients)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Heterogeneity did not allow pooling to generate effect estimates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</w:tr>
    </w:tbl>
    <w:p w:rsidR="00BB7F5D" w:rsidRDefault="00BB7F5D"/>
    <w:p w:rsidR="00BB7F5D" w:rsidRDefault="00000000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Absence of Gradient-Recalled Echo (GRE) changes on brain MRI</w:t>
      </w:r>
    </w:p>
    <w:tbl>
      <w:tblPr>
        <w:tblStyle w:val="a4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200"/>
        <w:gridCol w:w="1060"/>
        <w:gridCol w:w="1491"/>
        <w:gridCol w:w="992"/>
        <w:gridCol w:w="1129"/>
        <w:gridCol w:w="1536"/>
        <w:gridCol w:w="905"/>
        <w:gridCol w:w="1122"/>
      </w:tblGrid>
      <w:tr w:rsidR="00BB7F5D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study (39 patients)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BB7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5D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</w:tr>
    </w:tbl>
    <w:p w:rsidR="00BB7F5D" w:rsidRDefault="00BB7F5D"/>
    <w:p w:rsidR="00BB7F5D" w:rsidRDefault="00000000">
      <w:pPr>
        <w:pStyle w:val="Heading4"/>
        <w:spacing w:before="280"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Explanations</w:t>
      </w:r>
    </w:p>
    <w:p w:rsidR="00BB7F5D" w:rsidRDefault="00000000">
      <w:pPr>
        <w:spacing w:after="0"/>
        <w:ind w:left="142" w:hanging="142"/>
        <w:rPr>
          <w:sz w:val="16"/>
          <w:szCs w:val="16"/>
        </w:rPr>
      </w:pPr>
      <w:bookmarkStart w:id="5" w:name="_heading=h.tyjcwt" w:colFirst="0" w:colLast="0"/>
      <w:bookmarkEnd w:id="5"/>
      <w:proofErr w:type="gramStart"/>
      <w:r>
        <w:rPr>
          <w:sz w:val="16"/>
          <w:szCs w:val="16"/>
          <w:vertAlign w:val="superscript"/>
        </w:rPr>
        <w:t>a</w:t>
      </w:r>
      <w:r>
        <w:rPr>
          <w:sz w:val="16"/>
          <w:szCs w:val="16"/>
        </w:rPr>
        <w:t xml:space="preserve">  Moderate</w:t>
      </w:r>
      <w:proofErr w:type="gramEnd"/>
      <w:r>
        <w:rPr>
          <w:sz w:val="16"/>
          <w:szCs w:val="16"/>
        </w:rPr>
        <w:t xml:space="preserve"> risk of bias due to confounding and  low study participation.</w:t>
      </w:r>
    </w:p>
    <w:p w:rsidR="00BB7F5D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b</w:t>
      </w:r>
      <w:r>
        <w:rPr>
          <w:sz w:val="16"/>
          <w:szCs w:val="16"/>
        </w:rPr>
        <w:t xml:space="preserve"> Sensitivity 25 [9-49]. Specificity 77 [62-88]].</w:t>
      </w:r>
    </w:p>
    <w:p w:rsidR="00BB7F5D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c</w:t>
      </w:r>
      <w:r>
        <w:rPr>
          <w:sz w:val="16"/>
          <w:szCs w:val="16"/>
        </w:rPr>
        <w:t xml:space="preserve"> Sensitivity 75 [51-91]. Specificity 89 [77-96]]. </w:t>
      </w:r>
    </w:p>
    <w:p w:rsidR="00BB7F5D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d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time of measurement and the definitions of absent diffusion changes on MRI were inconsistent across studies. In one study, good outcome was described as CPC 1-3 instead of CPC 1-2.</w:t>
      </w:r>
    </w:p>
    <w:p w:rsidR="00BB7F5D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Sensitivity ranged from 50 [26–74] to 100 [87–100]. Specificity ranged from 88.7 [82.1–93.5] to 100 [97.9–100].</w:t>
      </w:r>
    </w:p>
    <w:p w:rsidR="00BB7F5D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f</w:t>
      </w:r>
      <w:r>
        <w:rPr>
          <w:sz w:val="16"/>
          <w:szCs w:val="16"/>
        </w:rPr>
        <w:t xml:space="preserve"> Sensitivity 75 [43-95]. Specificity 100 [90-100].</w:t>
      </w:r>
    </w:p>
    <w:sectPr w:rsidR="00BB7F5D">
      <w:pgSz w:w="12240" w:h="15840"/>
      <w:pgMar w:top="1440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5D"/>
    <w:rsid w:val="00BB7F5D"/>
    <w:rsid w:val="00D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25C06B-4957-824E-B941-D6D28D58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647B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0F"/>
  </w:style>
  <w:style w:type="paragraph" w:styleId="Footer">
    <w:name w:val="footer"/>
    <w:basedOn w:val="Normal"/>
    <w:link w:val="FooterChar"/>
    <w:uiPriority w:val="99"/>
    <w:unhideWhenUsed/>
    <w:rsid w:val="00B4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0F"/>
  </w:style>
  <w:style w:type="paragraph" w:styleId="NormalWeb">
    <w:name w:val="Normal (Web)"/>
    <w:basedOn w:val="Normal"/>
    <w:uiPriority w:val="99"/>
    <w:semiHidden/>
    <w:unhideWhenUsed/>
    <w:rsid w:val="00C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BE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7B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lcAB23WcnURBkRnTTC4mYeYog==">AMUW2mXQq34UhJ5oJx18sbItKRt+00xJU91htfgcLrYy4mawg3wXB0EPEzHbw5I7oBOUigvX84SxKUbcuCjjaMKc9CV6zYbSSC10iIySQh5nqHAfbYrHics37KAZ/Fylf6ygvjcnZFA/Ea1nKCFJgNDSDPGPCu0RrK2Wrs1EaKaQgolpAfyjDTJd9EzaNdn9LIG1wQTgZlfG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Hirsch</dc:creator>
  <cp:lastModifiedBy>Berg,Katherine  (HMFP - Medicine)</cp:lastModifiedBy>
  <cp:revision>2</cp:revision>
  <dcterms:created xsi:type="dcterms:W3CDTF">2022-12-14T14:58:00Z</dcterms:created>
  <dcterms:modified xsi:type="dcterms:W3CDTF">2022-12-14T14:58:00Z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aa72d7d767fa911d50cddf43e3866d03506e5b710b9db1f1f658fda464e004f1</vt:lpwstr>
  </property>
</Properties>
</file>