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353A" w14:textId="1AADB325" w:rsidR="008B3FB6" w:rsidRDefault="007D57D4">
      <w:pPr>
        <w:rPr>
          <w:b/>
          <w:bCs/>
        </w:rPr>
      </w:pPr>
      <w:r w:rsidRPr="007D57D4">
        <w:rPr>
          <w:b/>
          <w:bCs/>
        </w:rPr>
        <w:t>NLS 5501 Data Table</w:t>
      </w:r>
    </w:p>
    <w:p w14:paraId="14BE4B51" w14:textId="635C10BB" w:rsidR="007D57D4" w:rsidRDefault="007D57D4">
      <w:pPr>
        <w:rPr>
          <w:b/>
          <w:bCs/>
        </w:rPr>
      </w:pPr>
    </w:p>
    <w:tbl>
      <w:tblPr>
        <w:tblStyle w:val="TableGrid"/>
        <w:tblW w:w="14953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559"/>
        <w:gridCol w:w="3060"/>
        <w:gridCol w:w="6199"/>
        <w:gridCol w:w="24"/>
      </w:tblGrid>
      <w:tr w:rsidR="007D57D4" w:rsidRPr="00CA0884" w14:paraId="25D2F6DE" w14:textId="77777777" w:rsidTr="000009A3">
        <w:trPr>
          <w:gridAfter w:val="1"/>
          <w:wAfter w:w="24" w:type="dxa"/>
          <w:trHeight w:val="291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ABBFC9" w14:textId="77777777" w:rsidR="007D57D4" w:rsidRPr="00CA0884" w:rsidRDefault="007D57D4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eastAsia="de-AT"/>
              </w:rPr>
              <w:t>Author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9831F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CA088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eastAsia="de-AT"/>
              </w:rPr>
              <w:t>Model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814E7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CA088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eastAsia="de-AT"/>
              </w:rPr>
              <w:t>Study design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6B731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eastAsia="de-AT"/>
              </w:rPr>
              <w:t>Objective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E7B09" w14:textId="77777777" w:rsidR="007D57D4" w:rsidRPr="00CA0884" w:rsidRDefault="007D57D4" w:rsidP="000009A3">
            <w:pPr>
              <w:pStyle w:val="ListParagraph"/>
              <w:jc w:val="center"/>
              <w:rPr>
                <w:rFonts w:asciiTheme="majorHAnsi" w:hAnsiTheme="majorHAnsi" w:cs="Times New Roman"/>
                <w:color w:val="2E2E2E"/>
                <w:sz w:val="20"/>
                <w:szCs w:val="20"/>
              </w:rPr>
            </w:pPr>
            <w:r w:rsidRPr="00CA088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de-AT"/>
              </w:rPr>
              <w:t>Main Results</w:t>
            </w:r>
          </w:p>
        </w:tc>
      </w:tr>
      <w:tr w:rsidR="007D57D4" w:rsidRPr="00CA0884" w14:paraId="4C933BBE" w14:textId="77777777" w:rsidTr="000009A3">
        <w:trPr>
          <w:trHeight w:val="56"/>
        </w:trPr>
        <w:tc>
          <w:tcPr>
            <w:tcW w:w="14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56869" w14:textId="77777777" w:rsidR="007D57D4" w:rsidRPr="00CA0884" w:rsidRDefault="007D57D4" w:rsidP="000009A3">
            <w:pPr>
              <w:jc w:val="center"/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eastAsia="de-AT"/>
              </w:rPr>
              <w:t xml:space="preserve">Two </w:t>
            </w:r>
            <w:proofErr w:type="gramStart"/>
            <w:r w:rsidRPr="00CA088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eastAsia="de-AT"/>
              </w:rPr>
              <w:t>finger</w:t>
            </w:r>
            <w:proofErr w:type="gramEnd"/>
            <w:r w:rsidRPr="00CA088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eastAsia="de-AT"/>
              </w:rPr>
              <w:t xml:space="preserve"> (TF) vs. two thumb (TT) technique</w:t>
            </w:r>
          </w:p>
        </w:tc>
      </w:tr>
      <w:tr w:rsidR="007D57D4" w:rsidRPr="00CA0884" w14:paraId="3CBB594F" w14:textId="77777777" w:rsidTr="000009A3">
        <w:trPr>
          <w:gridAfter w:val="1"/>
          <w:wAfter w:w="24" w:type="dxa"/>
          <w:trHeight w:val="141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67B952" w14:textId="77777777" w:rsidR="007D57D4" w:rsidRPr="00CA0884" w:rsidRDefault="007D57D4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Whitelaw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 w:rsidRPr="000A2471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{</w:t>
            </w:r>
            <w:proofErr w:type="gramEnd"/>
            <w:r w:rsidRPr="000A2471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Whitelaw 2000 213}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3D5BB3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3C4DB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3F5DF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 xml:space="preserve">CPR with TF vs. TT 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C76EE" w14:textId="77777777" w:rsidR="007D57D4" w:rsidRPr="00CA0884" w:rsidRDefault="007D57D4" w:rsidP="000009A3">
            <w:pPr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No difference between both groups</w:t>
            </w:r>
          </w:p>
        </w:tc>
      </w:tr>
      <w:tr w:rsidR="007D57D4" w:rsidRPr="00CA0884" w14:paraId="19917DD2" w14:textId="77777777" w:rsidTr="000009A3">
        <w:trPr>
          <w:gridAfter w:val="1"/>
          <w:wAfter w:w="24" w:type="dxa"/>
          <w:trHeight w:val="26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E0529" w14:textId="77777777" w:rsidR="007D57D4" w:rsidRPr="00CA0884" w:rsidRDefault="007D57D4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Martin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Martin 2020 133}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8F175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3B6DA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A7627" w14:textId="77777777" w:rsidR="007D57D4" w:rsidRPr="00CA0884" w:rsidRDefault="007D57D4" w:rsidP="000009A3">
            <w:pPr>
              <w:rPr>
                <w:rFonts w:asciiTheme="majorHAnsi" w:hAnsiTheme="majorHAnsi"/>
                <w:color w:val="3E3D40"/>
                <w:sz w:val="20"/>
                <w:szCs w:val="20"/>
                <w:shd w:val="clear" w:color="auto" w:fill="FFFFFF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 xml:space="preserve">CPR with TT and TF 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38F6A" w14:textId="77777777" w:rsidR="007D57D4" w:rsidRPr="00CA0884" w:rsidRDefault="007D57D4" w:rsidP="000009A3">
            <w:pPr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TT higher CC depth, chest release force, and CC duty cycle</w:t>
            </w:r>
          </w:p>
        </w:tc>
      </w:tr>
      <w:tr w:rsidR="007D57D4" w:rsidRPr="00CA0884" w14:paraId="422E51EA" w14:textId="77777777" w:rsidTr="000009A3">
        <w:trPr>
          <w:gridAfter w:val="1"/>
          <w:wAfter w:w="24" w:type="dxa"/>
          <w:trHeight w:val="56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4B07C" w14:textId="77777777" w:rsidR="007D57D4" w:rsidRPr="00CA0884" w:rsidRDefault="007D57D4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Reynolds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 w:rsidRPr="003D2CB5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{</w:t>
            </w:r>
            <w:proofErr w:type="gramEnd"/>
            <w:r w:rsidRPr="003D2CB5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Reynolds 2020 133}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38506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31A4F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52E73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Term and preterm manikin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3E53E" w14:textId="77777777" w:rsidR="007D57D4" w:rsidRPr="00CA0884" w:rsidRDefault="007D57D4" w:rsidP="000009A3">
            <w:pPr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No difference in change in heart rate or cardiac output</w:t>
            </w:r>
          </w:p>
        </w:tc>
      </w:tr>
      <w:tr w:rsidR="007D57D4" w:rsidRPr="00CA0884" w14:paraId="1F4E4718" w14:textId="77777777" w:rsidTr="000009A3">
        <w:trPr>
          <w:gridAfter w:val="1"/>
          <w:wAfter w:w="24" w:type="dxa"/>
          <w:trHeight w:val="13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096869" w14:textId="77777777" w:rsidR="007D57D4" w:rsidRPr="00CA0884" w:rsidRDefault="007D57D4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Dorfsman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Dorfsman 2000 1077}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734ED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62516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9B7A7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 xml:space="preserve">CPR with TT vs. TF 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7427B" w14:textId="77777777" w:rsidR="007D57D4" w:rsidRPr="00CA0884" w:rsidRDefault="007D57D4" w:rsidP="000009A3">
            <w:pPr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TT higher systolic, diastolic, and mean blood and pulse pressure</w:t>
            </w:r>
          </w:p>
        </w:tc>
      </w:tr>
      <w:tr w:rsidR="007D57D4" w:rsidRPr="00CA0884" w14:paraId="7C1430C0" w14:textId="77777777" w:rsidTr="000009A3">
        <w:trPr>
          <w:gridAfter w:val="1"/>
          <w:wAfter w:w="24" w:type="dxa"/>
          <w:trHeight w:val="56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A3877" w14:textId="77777777" w:rsidR="007D57D4" w:rsidRPr="00CA0884" w:rsidRDefault="007D57D4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Christman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Christman 2011 F99}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4F16B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4E5495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FD99A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CPR with TT vs. TF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1BE45A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TT greater CC depth, correct finger position, less variability</w:t>
            </w:r>
          </w:p>
        </w:tc>
      </w:tr>
      <w:tr w:rsidR="007D57D4" w:rsidRPr="00CA0884" w14:paraId="5FE2A3D0" w14:textId="77777777" w:rsidTr="000009A3">
        <w:trPr>
          <w:gridAfter w:val="1"/>
          <w:wAfter w:w="24" w:type="dxa"/>
          <w:trHeight w:val="52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9F30B5" w14:textId="77777777" w:rsidR="007D57D4" w:rsidRPr="00CA0884" w:rsidRDefault="007D57D4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Pellegrino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Pellegrino 2019 104}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1C6C71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78F8FB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46511" w14:textId="77777777" w:rsidR="007D57D4" w:rsidRPr="00CA0884" w:rsidRDefault="007D57D4" w:rsidP="000009A3">
            <w:pPr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</w:pPr>
            <w:r w:rsidRPr="00CA0884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TF vs. TT for lone responder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5F346" w14:textId="77777777" w:rsidR="007D57D4" w:rsidRPr="00CA0884" w:rsidRDefault="007D57D4" w:rsidP="000009A3">
            <w:pPr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</w:pPr>
            <w:r w:rsidRPr="00CA0884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TT higher mean compression depth; TF higher percentages of compression fraction and complete recoil</w:t>
            </w:r>
          </w:p>
        </w:tc>
      </w:tr>
      <w:tr w:rsidR="007D57D4" w:rsidRPr="00CA0884" w14:paraId="73651869" w14:textId="77777777" w:rsidTr="000009A3">
        <w:trPr>
          <w:gridAfter w:val="1"/>
          <w:wAfter w:w="24" w:type="dxa"/>
          <w:trHeight w:val="56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3452C" w14:textId="77777777" w:rsidR="007D57D4" w:rsidRPr="00CA0884" w:rsidRDefault="007D57D4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Jiang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Jiang 2015 531}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715DF6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E69F3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38955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CPR with TF vs. TT technique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87DF7" w14:textId="77777777" w:rsidR="007D57D4" w:rsidRPr="00CA0884" w:rsidRDefault="007D57D4" w:rsidP="000009A3">
            <w:pPr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TT higher mean compression depths; TF significant lower fractions of correct hand position</w:t>
            </w:r>
          </w:p>
        </w:tc>
      </w:tr>
      <w:tr w:rsidR="007D57D4" w:rsidRPr="00CA0884" w14:paraId="1F3ADC19" w14:textId="77777777" w:rsidTr="000009A3">
        <w:trPr>
          <w:gridAfter w:val="1"/>
          <w:wAfter w:w="24" w:type="dxa"/>
          <w:trHeight w:val="274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67061" w14:textId="77777777" w:rsidR="007D57D4" w:rsidRPr="00CA0884" w:rsidRDefault="007D57D4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Jo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Jo 2017 462}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1F302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46F4A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E425F" w14:textId="77777777" w:rsidR="007D57D4" w:rsidRPr="00CA0884" w:rsidRDefault="007D57D4" w:rsidP="000009A3">
            <w:pPr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CPR with OTT</w:t>
            </w:r>
            <w:r w:rsidRPr="00CA0884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 vs. TF technique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52434" w14:textId="77777777" w:rsidR="007D57D4" w:rsidRPr="00CA0884" w:rsidRDefault="007D57D4" w:rsidP="000009A3">
            <w:pPr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 xml:space="preserve">Over-the-head two-thumb greater CC depth, more effective CC, complete recoil, and lower fatigue score </w:t>
            </w:r>
          </w:p>
        </w:tc>
      </w:tr>
      <w:tr w:rsidR="007D57D4" w:rsidRPr="00CA0884" w14:paraId="25E906C4" w14:textId="77777777" w:rsidTr="000009A3">
        <w:trPr>
          <w:gridAfter w:val="1"/>
          <w:wAfter w:w="24" w:type="dxa"/>
          <w:trHeight w:val="13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A72A4" w14:textId="77777777" w:rsidR="007D57D4" w:rsidRPr="00CA0884" w:rsidRDefault="007D57D4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Cheung et </w:t>
            </w:r>
            <w:proofErr w:type="gramStart"/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Cheung 2020 559}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CC2F7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038D9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1C2BC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CPR with TT vs. OTT technique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89856" w14:textId="77777777" w:rsidR="007D57D4" w:rsidRPr="00CA0884" w:rsidRDefault="007D57D4" w:rsidP="000009A3">
            <w:pPr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No significant difference in effective CC depth or rate</w:t>
            </w:r>
          </w:p>
        </w:tc>
      </w:tr>
      <w:tr w:rsidR="007D57D4" w:rsidRPr="00CA0884" w14:paraId="002F2B63" w14:textId="77777777" w:rsidTr="000009A3">
        <w:trPr>
          <w:gridAfter w:val="1"/>
          <w:wAfter w:w="24" w:type="dxa"/>
          <w:trHeight w:val="13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559DA" w14:textId="77777777" w:rsidR="007D57D4" w:rsidRPr="00CA0884" w:rsidRDefault="007D57D4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Udassi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Udassi 2010 712}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4F96F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1C6E8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872E0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 xml:space="preserve">Lone rescuer TT vs TF 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BB583" w14:textId="77777777" w:rsidR="007D57D4" w:rsidRPr="00CA0884" w:rsidRDefault="007D57D4" w:rsidP="000009A3">
            <w:pPr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No significant difference in mean % effective breaths; Delivered compressions/min were lower with TT; TT significantly higher CC depth and compression pressure</w:t>
            </w:r>
          </w:p>
        </w:tc>
      </w:tr>
      <w:tr w:rsidR="007D57D4" w:rsidRPr="00CA0884" w14:paraId="36FAB2E5" w14:textId="77777777" w:rsidTr="000009A3">
        <w:trPr>
          <w:gridAfter w:val="1"/>
          <w:wAfter w:w="24" w:type="dxa"/>
          <w:trHeight w:val="15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A0270E" w14:textId="77777777" w:rsidR="007D57D4" w:rsidRPr="00CA0884" w:rsidRDefault="007D57D4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Huynh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Huynh 2012 658}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071B1F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82202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D6939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 xml:space="preserve">TT vs. TF on either </w:t>
            </w: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table vs. radiant warmer vs. floor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AA4A3" w14:textId="77777777" w:rsidR="007D57D4" w:rsidRPr="00CA0884" w:rsidRDefault="007D57D4" w:rsidP="000009A3">
            <w:pPr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TT had higher CC depth on floor; Decay in CC over time greater with TF on the floor and radiant warmer; Providers favored table over radiant warmer over floor</w:t>
            </w:r>
          </w:p>
        </w:tc>
      </w:tr>
      <w:tr w:rsidR="007D57D4" w:rsidRPr="00CA0884" w14:paraId="1F2179D3" w14:textId="77777777" w:rsidTr="000009A3">
        <w:trPr>
          <w:gridAfter w:val="1"/>
          <w:wAfter w:w="24" w:type="dxa"/>
          <w:trHeight w:val="143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DBF13" w14:textId="77777777" w:rsidR="007D57D4" w:rsidRPr="000A2471" w:rsidRDefault="007D57D4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0A2471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Lee </w:t>
            </w:r>
            <w:r w:rsidRPr="000A2471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0A2471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{</w:t>
            </w:r>
            <w:proofErr w:type="gramEnd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Lee 2020 e700</w:t>
            </w:r>
            <w:r w:rsidRPr="003D2CB5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882B79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88631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0D958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CPR with TF vs. TT technique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EF31D" w14:textId="77777777" w:rsidR="007D57D4" w:rsidRPr="00CA0884" w:rsidRDefault="007D57D4" w:rsidP="000009A3">
            <w:pPr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TT higher CC depth, longer hands-off time, finger strength</w:t>
            </w:r>
          </w:p>
        </w:tc>
      </w:tr>
      <w:tr w:rsidR="007D57D4" w:rsidRPr="00CA0884" w14:paraId="4CF2CC41" w14:textId="77777777" w:rsidTr="000009A3">
        <w:trPr>
          <w:gridAfter w:val="1"/>
          <w:wAfter w:w="24" w:type="dxa"/>
          <w:trHeight w:val="56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B68C5" w14:textId="77777777" w:rsidR="007D57D4" w:rsidRPr="00CA0884" w:rsidRDefault="007D57D4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>Saini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 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Saini 2012 690}</w:t>
            </w:r>
          </w:p>
          <w:p w14:paraId="01FF3499" w14:textId="77777777" w:rsidR="007D57D4" w:rsidRPr="00CA0884" w:rsidRDefault="007D57D4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17BB1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Newborn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43124B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217B52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sz w:val="20"/>
                <w:szCs w:val="20"/>
              </w:rPr>
              <w:t>TF vs. TT during CPR in neonates of various gestational ages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4DBD8" w14:textId="77777777" w:rsidR="007D57D4" w:rsidRPr="00CA0884" w:rsidRDefault="007D57D4" w:rsidP="000009A3">
            <w:pPr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TT significantly higher proportion of correct finger placements</w:t>
            </w:r>
          </w:p>
        </w:tc>
      </w:tr>
      <w:tr w:rsidR="007D57D4" w:rsidRPr="00CA0884" w14:paraId="2AB0A9B0" w14:textId="77777777" w:rsidTr="000009A3">
        <w:trPr>
          <w:trHeight w:val="56"/>
        </w:trPr>
        <w:tc>
          <w:tcPr>
            <w:tcW w:w="14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92AAD7" w14:textId="77777777" w:rsidR="007D57D4" w:rsidRPr="00CA0884" w:rsidRDefault="007D57D4" w:rsidP="000009A3">
            <w:pPr>
              <w:jc w:val="center"/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eastAsia="de-AT"/>
              </w:rPr>
              <w:t>Novel finger/hand positions vs. TF or TT technique</w:t>
            </w:r>
          </w:p>
        </w:tc>
      </w:tr>
      <w:tr w:rsidR="007D57D4" w:rsidRPr="00CA0884" w14:paraId="4E4F03C4" w14:textId="77777777" w:rsidTr="000009A3">
        <w:trPr>
          <w:gridAfter w:val="1"/>
          <w:wAfter w:w="24" w:type="dxa"/>
          <w:trHeight w:val="84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A8586" w14:textId="77777777" w:rsidR="007D57D4" w:rsidRPr="00CA0884" w:rsidRDefault="007D57D4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Yang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Yang 2019 1217}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1558C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BBCF8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D3928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Flexed two-finger (FTF) vs. TT vs. TF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67CD0" w14:textId="77777777" w:rsidR="007D57D4" w:rsidRPr="00CA0884" w:rsidRDefault="007D57D4" w:rsidP="000009A3">
            <w:pPr>
              <w:jc w:val="both"/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TT had highest adequate CC depth and longest hand-off time</w:t>
            </w:r>
          </w:p>
        </w:tc>
      </w:tr>
      <w:tr w:rsidR="007D57D4" w:rsidRPr="00CA0884" w14:paraId="2D74AF11" w14:textId="77777777" w:rsidTr="000009A3">
        <w:trPr>
          <w:gridAfter w:val="1"/>
          <w:wAfter w:w="24" w:type="dxa"/>
          <w:trHeight w:val="273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5045A0" w14:textId="77777777" w:rsidR="007D57D4" w:rsidRPr="00CA0884" w:rsidRDefault="007D57D4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Kim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Kim 2016 997}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BF9A5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505B5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E8D7A2" w14:textId="77777777" w:rsidR="007D57D4" w:rsidRPr="00CA0884" w:rsidRDefault="007D57D4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/>
              </w:rPr>
              <w:t>TF with right vs. left hand and index-middle vs. middle-ring fingers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52476" w14:textId="77777777" w:rsidR="007D57D4" w:rsidRPr="00CA0884" w:rsidRDefault="007D57D4" w:rsidP="000009A3">
            <w:pPr>
              <w:jc w:val="both"/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CC depth significantly greater with TF index-middle fingers regardless of the hand</w:t>
            </w:r>
          </w:p>
        </w:tc>
      </w:tr>
    </w:tbl>
    <w:p w14:paraId="5DFAB983" w14:textId="706CDDBD" w:rsidR="007D57D4" w:rsidRDefault="007D57D4">
      <w:pPr>
        <w:rPr>
          <w:b/>
          <w:bCs/>
        </w:rPr>
      </w:pPr>
    </w:p>
    <w:tbl>
      <w:tblPr>
        <w:tblStyle w:val="TableGrid"/>
        <w:tblW w:w="14953" w:type="dxa"/>
        <w:tblLayout w:type="fixed"/>
        <w:tblLook w:val="04A0" w:firstRow="1" w:lastRow="0" w:firstColumn="1" w:lastColumn="0" w:noHBand="0" w:noVBand="1"/>
      </w:tblPr>
      <w:tblGrid>
        <w:gridCol w:w="2981"/>
        <w:gridCol w:w="1136"/>
        <w:gridCol w:w="1562"/>
        <w:gridCol w:w="3065"/>
        <w:gridCol w:w="6209"/>
      </w:tblGrid>
      <w:tr w:rsidR="00D65306" w:rsidRPr="00CA0884" w14:paraId="4F7986B6" w14:textId="77777777" w:rsidTr="000009A3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2788E" w14:textId="77777777" w:rsidR="00D65306" w:rsidRPr="00CA0884" w:rsidRDefault="00D65306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Jung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Jung 2019 261}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7A7F8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439A68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73BEF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 xml:space="preserve">Knocking finger (KF) vs. TF vs. TT 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3037D" w14:textId="77777777" w:rsidR="00D65306" w:rsidRPr="00CA0884" w:rsidRDefault="00D65306" w:rsidP="000009A3">
            <w:pPr>
              <w:jc w:val="both"/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KF highest total CC frequency; TT highest correct CC depth</w:t>
            </w:r>
          </w:p>
        </w:tc>
      </w:tr>
      <w:tr w:rsidR="00D65306" w:rsidRPr="00CA0884" w14:paraId="68528CDA" w14:textId="77777777" w:rsidTr="000009A3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1C5B8" w14:textId="77777777" w:rsidR="00D65306" w:rsidRPr="00CA0884" w:rsidRDefault="00D65306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Paek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Paek 2019 e0226632}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ACFE8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6A343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23315" w14:textId="77777777" w:rsidR="00D65306" w:rsidRPr="00CA0884" w:rsidRDefault="00D65306" w:rsidP="000009A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Three-finger pinch (PT) vs. plate-assisted device (PAT) vs. TF technique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E7C46" w14:textId="77777777" w:rsidR="00D65306" w:rsidRPr="00CA0884" w:rsidRDefault="00D65306" w:rsidP="000009A3">
            <w:pPr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PT and PAT improved CC depth</w:t>
            </w:r>
          </w:p>
        </w:tc>
      </w:tr>
      <w:tr w:rsidR="00D65306" w:rsidRPr="00CA0884" w14:paraId="4228E585" w14:textId="77777777" w:rsidTr="000009A3">
        <w:trPr>
          <w:trHeight w:val="15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2781D" w14:textId="77777777" w:rsidR="00D65306" w:rsidRPr="00CA0884" w:rsidRDefault="00D65306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>Rodriguez Ruiz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 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Rodriquez-Ruis 2019 1529}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6C01D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34C844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3A73A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color w:val="111111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111111"/>
                <w:sz w:val="20"/>
                <w:szCs w:val="20"/>
              </w:rPr>
              <w:t>TT vs. new two-thumb vs. KF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343B1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 xml:space="preserve">No differences between any variables analyzed </w:t>
            </w:r>
          </w:p>
        </w:tc>
      </w:tr>
      <w:tr w:rsidR="00D65306" w:rsidRPr="00CA0884" w14:paraId="3847502F" w14:textId="77777777" w:rsidTr="000009A3">
        <w:trPr>
          <w:trHeight w:val="8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A01D9" w14:textId="77777777" w:rsidR="00D65306" w:rsidRPr="00CA0884" w:rsidRDefault="00D65306" w:rsidP="000009A3">
            <w:pPr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>Na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 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Na 2015 e70}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5B633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BB098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2B0E6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1C1D1E"/>
                <w:sz w:val="20"/>
                <w:szCs w:val="20"/>
                <w:shd w:val="clear" w:color="auto" w:fill="FFFFFF"/>
              </w:rPr>
              <w:t>Vertical two</w:t>
            </w:r>
            <w:r w:rsidRPr="00CA0884">
              <w:rPr>
                <w:rFonts w:asciiTheme="majorHAnsi" w:hAnsiTheme="majorHAnsi" w:cs="Cambria Math"/>
                <w:color w:val="1C1D1E"/>
                <w:sz w:val="20"/>
                <w:szCs w:val="20"/>
                <w:shd w:val="clear" w:color="auto" w:fill="FFFFFF"/>
              </w:rPr>
              <w:t>‐</w:t>
            </w:r>
            <w:r w:rsidRPr="00CA0884">
              <w:rPr>
                <w:rFonts w:asciiTheme="majorHAnsi" w:hAnsiTheme="majorHAnsi"/>
                <w:color w:val="1C1D1E"/>
                <w:sz w:val="20"/>
                <w:szCs w:val="20"/>
                <w:shd w:val="clear" w:color="auto" w:fill="FFFFFF"/>
              </w:rPr>
              <w:t>thumb (VTT) vs. TT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96728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VTT generated significantly higher pressure</w:t>
            </w:r>
          </w:p>
        </w:tc>
      </w:tr>
      <w:tr w:rsidR="00D65306" w:rsidRPr="00CA0884" w14:paraId="7CBD26EF" w14:textId="77777777" w:rsidTr="000009A3">
        <w:trPr>
          <w:trHeight w:val="231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BEF12" w14:textId="77777777" w:rsidR="00D65306" w:rsidRPr="00CA0884" w:rsidRDefault="00D65306" w:rsidP="000009A3">
            <w:pPr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lastRenderedPageBreak/>
              <w:t xml:space="preserve">Park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Park 2018 1}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F50C4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7A5721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D645B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sz w:val="20"/>
                <w:szCs w:val="20"/>
              </w:rPr>
              <w:t>P</w:t>
            </w:r>
            <w:r w:rsidRPr="00CA0884">
              <w:rPr>
                <w:rFonts w:asciiTheme="majorHAnsi" w:hAnsiTheme="majorHAnsi"/>
                <w:color w:val="333333"/>
                <w:sz w:val="20"/>
                <w:szCs w:val="20"/>
              </w:rPr>
              <w:t>alm presser vs. TF technique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AFC8F5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Palm presser resulted in greater mean CC depth, deep compressions, and better correct hand position</w:t>
            </w:r>
          </w:p>
        </w:tc>
      </w:tr>
      <w:tr w:rsidR="00D65306" w:rsidRPr="00CA0884" w14:paraId="6242E5A2" w14:textId="77777777" w:rsidTr="000009A3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B870C" w14:textId="77777777" w:rsidR="00D65306" w:rsidRPr="00CA0884" w:rsidRDefault="00D65306" w:rsidP="000009A3">
            <w:pPr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Smereka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Smereka 2018 159}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AAD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4174F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ED79E" w14:textId="77777777" w:rsidR="00D65306" w:rsidRPr="00CA0884" w:rsidRDefault="00D65306" w:rsidP="000009A3">
            <w:pPr>
              <w:jc w:val="both"/>
              <w:rPr>
                <w:rFonts w:asciiTheme="majorHAnsi" w:hAnsiTheme="majorHAnsi"/>
                <w:color w:val="3E3D40"/>
                <w:sz w:val="20"/>
                <w:szCs w:val="20"/>
                <w:shd w:val="clear" w:color="auto" w:fill="FFFFFF"/>
              </w:rPr>
            </w:pPr>
            <w:r w:rsidRPr="00CA0884">
              <w:rPr>
                <w:rFonts w:asciiTheme="majorHAnsi" w:hAnsiTheme="majorHAnsi"/>
                <w:color w:val="3E3D40"/>
                <w:sz w:val="20"/>
                <w:szCs w:val="20"/>
                <w:shd w:val="clear" w:color="auto" w:fill="FFFFFF"/>
              </w:rPr>
              <w:t>nTT vs. TF by novice physicians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2786E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nTT had highest effective compression efficiency</w:t>
            </w:r>
          </w:p>
        </w:tc>
      </w:tr>
      <w:tr w:rsidR="00D65306" w:rsidRPr="00CA0884" w14:paraId="253E006E" w14:textId="77777777" w:rsidTr="000009A3">
        <w:trPr>
          <w:trHeight w:val="23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0513E" w14:textId="77777777" w:rsidR="00D65306" w:rsidRPr="00CA0884" w:rsidRDefault="00D65306" w:rsidP="000009A3">
            <w:pPr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Smereka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Smereka 2018 761}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E985BF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CE281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A3AD7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Style w:val="Emphasis"/>
                <w:rFonts w:asciiTheme="majorHAnsi" w:hAnsiTheme="majorHAnsi"/>
                <w:color w:val="000000"/>
                <w:sz w:val="20"/>
                <w:szCs w:val="20"/>
              </w:rPr>
              <w:t xml:space="preserve">nTT vs. TF </w:t>
            </w:r>
            <w:r w:rsidRPr="00CA0884">
              <w:rPr>
                <w:rFonts w:asciiTheme="majorHAnsi" w:hAnsiTheme="majorHAnsi"/>
                <w:color w:val="3E3D40"/>
                <w:sz w:val="20"/>
                <w:szCs w:val="20"/>
                <w:shd w:val="clear" w:color="auto" w:fill="FFFFFF"/>
              </w:rPr>
              <w:t>technique by nurses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02AFD" w14:textId="77777777" w:rsidR="00D65306" w:rsidRPr="00CA0884" w:rsidRDefault="00D65306" w:rsidP="000009A3">
            <w:pPr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nTT less fatigue, better CC fraction and CC depth</w:t>
            </w:r>
          </w:p>
        </w:tc>
      </w:tr>
      <w:tr w:rsidR="00D65306" w:rsidRPr="00CA0884" w14:paraId="0D8C4D08" w14:textId="77777777" w:rsidTr="000009A3">
        <w:trPr>
          <w:trHeight w:val="56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3519A" w14:textId="77777777" w:rsidR="00D65306" w:rsidRPr="00CA0884" w:rsidRDefault="00D65306" w:rsidP="000009A3">
            <w:pPr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Smereka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Smereka 2017 e5915}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E7263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719F4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B8540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Style w:val="Emphasis"/>
                <w:rFonts w:asciiTheme="majorHAnsi" w:hAnsiTheme="majorHAnsi"/>
                <w:color w:val="000000"/>
                <w:sz w:val="20"/>
                <w:szCs w:val="20"/>
              </w:rPr>
              <w:t xml:space="preserve">nTT vs. TF </w:t>
            </w:r>
            <w:r w:rsidRPr="00CA0884">
              <w:rPr>
                <w:rFonts w:asciiTheme="majorHAnsi" w:hAnsiTheme="majorHAnsi"/>
                <w:color w:val="3E3D40"/>
                <w:sz w:val="20"/>
                <w:szCs w:val="20"/>
                <w:shd w:val="clear" w:color="auto" w:fill="FFFFFF"/>
              </w:rPr>
              <w:t xml:space="preserve">technique by </w:t>
            </w:r>
            <w:r w:rsidRPr="00CA0884">
              <w:rPr>
                <w:rFonts w:asciiTheme="majorHAnsi" w:hAnsiTheme="majorHAnsi"/>
                <w:sz w:val="20"/>
                <w:szCs w:val="20"/>
              </w:rPr>
              <w:t>paramedics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3B965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 xml:space="preserve">nTT highest percentage of correct CC rate; CC depth lowest with TF </w:t>
            </w:r>
          </w:p>
        </w:tc>
      </w:tr>
      <w:tr w:rsidR="00D65306" w:rsidRPr="00CA0884" w14:paraId="05F65D08" w14:textId="77777777" w:rsidTr="000009A3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3F0C4" w14:textId="77777777" w:rsidR="00D65306" w:rsidRPr="00CA0884" w:rsidRDefault="00D65306" w:rsidP="000009A3">
            <w:pPr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Smereka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Smereka 2017 604}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E86645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84173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3D78E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>nTT vs. TF vs. TT by paramedics with &lt;1-year experience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14950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Incorrect decompressions increased with TT</w:t>
            </w:r>
          </w:p>
        </w:tc>
      </w:tr>
      <w:tr w:rsidR="00D65306" w:rsidRPr="00CA0884" w14:paraId="630E5E03" w14:textId="77777777" w:rsidTr="000009A3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5B9CA6" w14:textId="77777777" w:rsidR="00D65306" w:rsidRPr="00CA0884" w:rsidRDefault="00D65306" w:rsidP="000009A3">
            <w:pPr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Smereka </w:t>
            </w:r>
            <w:r w:rsidRPr="00CA088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Smereka 2016 589}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5749A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73228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BE5E6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nTT vs. TF vs. TT </w:t>
            </w: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 xml:space="preserve">by novice physicians with </w:t>
            </w: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>&lt;1-year experience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F7954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TF had highest percentage of recoil and fastest CC rate</w:t>
            </w:r>
          </w:p>
        </w:tc>
      </w:tr>
      <w:tr w:rsidR="00D65306" w:rsidRPr="00CA0884" w14:paraId="757722C6" w14:textId="77777777" w:rsidTr="000009A3">
        <w:trPr>
          <w:trHeight w:val="21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97268" w14:textId="77777777" w:rsidR="00D65306" w:rsidRPr="00CA0884" w:rsidRDefault="00D65306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Smereka </w:t>
            </w:r>
            <w:r w:rsidRPr="00CA088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Smereka 2017 1420}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6C709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E9A82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A38FB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nTT vs. TF vs. TT </w:t>
            </w: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technique by EMS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8C129" w14:textId="77777777" w:rsidR="00D65306" w:rsidRPr="00CA0884" w:rsidRDefault="00D65306" w:rsidP="000009A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nTT highest systolic and diastolic blood and pulse pressure</w:t>
            </w:r>
          </w:p>
        </w:tc>
      </w:tr>
      <w:tr w:rsidR="00D65306" w:rsidRPr="00CA0884" w14:paraId="279B769B" w14:textId="77777777" w:rsidTr="000009A3">
        <w:trPr>
          <w:trHeight w:val="124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E00E2" w14:textId="77777777" w:rsidR="00D65306" w:rsidRPr="00CA0884" w:rsidRDefault="00D65306" w:rsidP="000009A3">
            <w:pPr>
              <w:jc w:val="both"/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Ladny </w:t>
            </w:r>
            <w:r w:rsidRPr="00CA088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Ladny 2018 e9386}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F4E126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E632A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F45D5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2 thumbs-fist vs. nTTT vs. TF vs. TT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6D4B8" w14:textId="77777777" w:rsidR="00D65306" w:rsidRPr="00CA0884" w:rsidRDefault="00D65306" w:rsidP="000009A3">
            <w:pPr>
              <w:jc w:val="both"/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nTTT higher systolic blood pressure, participations preferred nTTT</w:t>
            </w:r>
          </w:p>
        </w:tc>
      </w:tr>
      <w:tr w:rsidR="00D65306" w:rsidRPr="00CA0884" w14:paraId="4FE18589" w14:textId="77777777" w:rsidTr="000009A3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1D108" w14:textId="77777777" w:rsidR="00D65306" w:rsidRPr="00CA0884" w:rsidRDefault="00D65306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Lee </w:t>
            </w:r>
            <w:r w:rsidRPr="00CA088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Lee 2018 372}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CE6A4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08E70A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42CB8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TT + compression assist device (Reheart) vs. TT technique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8470A1" w14:textId="77777777" w:rsidR="00D65306" w:rsidRPr="00CA0884" w:rsidRDefault="00D65306" w:rsidP="000009A3">
            <w:pPr>
              <w:jc w:val="both"/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Proportion of compression on target area higher with Reheart; No difference in CC rates or depth</w:t>
            </w:r>
          </w:p>
        </w:tc>
      </w:tr>
      <w:tr w:rsidR="00D65306" w:rsidRPr="00CA0884" w14:paraId="30185E9D" w14:textId="77777777" w:rsidTr="000009A3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CC9B0" w14:textId="77777777" w:rsidR="00D65306" w:rsidRPr="00CA0884" w:rsidRDefault="00D65306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Fakhraddin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Fakhraddin 2011 15}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23482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55BAF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Randomized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B1719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TF vs. TT vs. TIFM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5201B5" w14:textId="77777777" w:rsidR="00D65306" w:rsidRPr="00CA0884" w:rsidRDefault="00D65306" w:rsidP="000009A3">
            <w:pPr>
              <w:jc w:val="both"/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 xml:space="preserve">TT and TIFM with similar performance while TF </w:t>
            </w:r>
            <w:proofErr w:type="gramStart"/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was</w:t>
            </w:r>
            <w:proofErr w:type="gramEnd"/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 xml:space="preserve"> inferior</w:t>
            </w:r>
          </w:p>
        </w:tc>
      </w:tr>
      <w:tr w:rsidR="00D65306" w:rsidRPr="00CA0884" w14:paraId="33334D9E" w14:textId="77777777" w:rsidTr="000009A3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2690E" w14:textId="77777777" w:rsidR="00D65306" w:rsidRPr="00CA0884" w:rsidRDefault="00D65306" w:rsidP="000009A3">
            <w:pPr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CA0884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Jang </w:t>
            </w:r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et </w:t>
            </w:r>
            <w:proofErr w:type="gramStart"/>
            <w:r w:rsidRPr="00CA0884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/>
                <w:sz w:val="20"/>
                <w:szCs w:val="20"/>
              </w:rPr>
              <w:t>{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Jang 2018 36}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50485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Human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B3244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sz w:val="20"/>
                <w:szCs w:val="20"/>
              </w:rPr>
              <w:t>Observational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42D46" w14:textId="77777777" w:rsidR="00D65306" w:rsidRPr="00CA0884" w:rsidRDefault="00D65306" w:rsidP="000009A3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TT vs One Hand</w:t>
            </w: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9B6B6" w14:textId="77777777" w:rsidR="00D65306" w:rsidRPr="00CA0884" w:rsidRDefault="00D65306" w:rsidP="000009A3">
            <w:pPr>
              <w:jc w:val="both"/>
              <w:rPr>
                <w:rFonts w:asciiTheme="majorHAnsi" w:hAnsiTheme="majorHAnsi"/>
                <w:color w:val="2E2E2E"/>
                <w:sz w:val="20"/>
                <w:szCs w:val="20"/>
              </w:rPr>
            </w:pPr>
            <w:r w:rsidRPr="00CA0884">
              <w:rPr>
                <w:rFonts w:asciiTheme="majorHAnsi" w:hAnsiTheme="majorHAnsi"/>
                <w:color w:val="2E2E2E"/>
                <w:sz w:val="20"/>
                <w:szCs w:val="20"/>
              </w:rPr>
              <w:t>One Hand position greater prevalence of inappropriately fast CC rate. No difference in depth between both techniques.</w:t>
            </w:r>
          </w:p>
        </w:tc>
      </w:tr>
    </w:tbl>
    <w:p w14:paraId="523576A5" w14:textId="77777777" w:rsidR="00D65306" w:rsidRPr="00CA0884" w:rsidRDefault="00D65306" w:rsidP="00D65306">
      <w:pPr>
        <w:rPr>
          <w:rFonts w:asciiTheme="majorHAnsi" w:hAnsiTheme="majorHAnsi"/>
          <w:sz w:val="20"/>
          <w:szCs w:val="20"/>
        </w:rPr>
      </w:pPr>
      <w:r w:rsidRPr="00CA0884">
        <w:rPr>
          <w:rFonts w:asciiTheme="majorHAnsi" w:hAnsiTheme="majorHAnsi"/>
          <w:sz w:val="20"/>
          <w:szCs w:val="20"/>
        </w:rPr>
        <w:t>CPR=cardiopulmonary resuscitation, CC=chest compression, TF=2-finger technique, TT=2-thumb technique, nTT=novel 2-thumb technique, OTT=</w:t>
      </w:r>
      <w:r w:rsidRPr="00CA0884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>Over-the-head two-thumb encircling technique</w:t>
      </w:r>
      <w:r w:rsidRPr="00CA0884">
        <w:rPr>
          <w:rFonts w:asciiTheme="majorHAnsi" w:hAnsiTheme="majorHAnsi"/>
          <w:sz w:val="20"/>
          <w:szCs w:val="20"/>
        </w:rPr>
        <w:t xml:space="preserve">, PT=Three-finger pinch technique, PAT=plate-assisted technique, </w:t>
      </w:r>
      <w:r w:rsidRPr="00CA0884">
        <w:rPr>
          <w:rFonts w:asciiTheme="majorHAnsi" w:hAnsiTheme="majorHAnsi"/>
          <w:color w:val="1C1D1E"/>
          <w:sz w:val="20"/>
          <w:szCs w:val="20"/>
          <w:shd w:val="clear" w:color="auto" w:fill="FFFFFF"/>
        </w:rPr>
        <w:t>VTT=Vertical two</w:t>
      </w:r>
      <w:r w:rsidRPr="00CA0884">
        <w:rPr>
          <w:rFonts w:asciiTheme="majorHAnsi" w:hAnsiTheme="majorHAnsi" w:cs="Cambria Math"/>
          <w:color w:val="1C1D1E"/>
          <w:sz w:val="20"/>
          <w:szCs w:val="20"/>
          <w:shd w:val="clear" w:color="auto" w:fill="FFFFFF"/>
        </w:rPr>
        <w:t>‐</w:t>
      </w:r>
      <w:r w:rsidRPr="00CA0884">
        <w:rPr>
          <w:rFonts w:asciiTheme="majorHAnsi" w:hAnsiTheme="majorHAnsi"/>
          <w:color w:val="1C1D1E"/>
          <w:sz w:val="20"/>
          <w:szCs w:val="20"/>
          <w:shd w:val="clear" w:color="auto" w:fill="FFFFFF"/>
        </w:rPr>
        <w:t>thumb, TIFM=</w:t>
      </w:r>
      <w:r w:rsidRPr="00CA0884">
        <w:rPr>
          <w:rFonts w:asciiTheme="majorHAnsi" w:hAnsiTheme="majorHAnsi"/>
          <w:color w:val="2E2E2E"/>
          <w:sz w:val="20"/>
          <w:szCs w:val="20"/>
        </w:rPr>
        <w:t>Thumb and index finger method</w:t>
      </w:r>
    </w:p>
    <w:p w14:paraId="68158662" w14:textId="77777777" w:rsidR="00D65306" w:rsidRDefault="00D65306" w:rsidP="00D65306">
      <w:pPr>
        <w:rPr>
          <w:rFonts w:asciiTheme="majorHAnsi" w:hAnsiTheme="majorHAnsi"/>
          <w:sz w:val="22"/>
          <w:szCs w:val="22"/>
        </w:rPr>
      </w:pPr>
    </w:p>
    <w:p w14:paraId="1B838F34" w14:textId="77777777" w:rsidR="007D57D4" w:rsidRPr="007D57D4" w:rsidRDefault="007D57D4">
      <w:pPr>
        <w:rPr>
          <w:b/>
          <w:bCs/>
        </w:rPr>
      </w:pPr>
    </w:p>
    <w:sectPr w:rsidR="007D57D4" w:rsidRPr="007D57D4" w:rsidSect="007D57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D4"/>
    <w:rsid w:val="007D57D4"/>
    <w:rsid w:val="008B3FB6"/>
    <w:rsid w:val="00D65306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2D476"/>
  <w15:chartTrackingRefBased/>
  <w15:docId w15:val="{F6A383C2-DFFF-0145-83B9-AE3CE7B3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D4"/>
    <w:pPr>
      <w:ind w:left="720"/>
      <w:contextualSpacing/>
    </w:pPr>
    <w:rPr>
      <w:rFonts w:eastAsiaTheme="minorEastAsia"/>
      <w:lang w:val="en-AU"/>
    </w:rPr>
  </w:style>
  <w:style w:type="paragraph" w:styleId="NormalWeb">
    <w:name w:val="Normal (Web)"/>
    <w:basedOn w:val="Normal"/>
    <w:uiPriority w:val="99"/>
    <w:unhideWhenUsed/>
    <w:rsid w:val="007D57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D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65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2</cp:revision>
  <dcterms:created xsi:type="dcterms:W3CDTF">2023-01-18T04:02:00Z</dcterms:created>
  <dcterms:modified xsi:type="dcterms:W3CDTF">2023-01-18T04:02:00Z</dcterms:modified>
</cp:coreProperties>
</file>