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700B" w14:textId="77777777" w:rsidR="00DE7C7A" w:rsidRDefault="00DE7C7A">
      <w:pPr>
        <w:pStyle w:val="Heading1"/>
        <w:spacing w:after="20"/>
        <w:rPr>
          <w:rFonts w:ascii="Calibri" w:hAnsi="Calibri" w:cs="Calibri"/>
          <w:smallCaps/>
          <w:color w:val="000000"/>
          <w:sz w:val="30"/>
          <w:szCs w:val="30"/>
        </w:rPr>
      </w:pPr>
    </w:p>
    <w:tbl>
      <w:tblPr>
        <w:tblStyle w:val="a"/>
        <w:tblW w:w="14400" w:type="dxa"/>
        <w:tblLayout w:type="fixed"/>
        <w:tblLook w:val="0400" w:firstRow="0" w:lastRow="0" w:firstColumn="0" w:lastColumn="0" w:noHBand="0" w:noVBand="1"/>
      </w:tblPr>
      <w:tblGrid>
        <w:gridCol w:w="1600"/>
        <w:gridCol w:w="12800"/>
      </w:tblGrid>
      <w:tr w:rsidR="00DE7C7A" w14:paraId="42D530A7" w14:textId="77777777">
        <w:tc>
          <w:tcPr>
            <w:tcW w:w="14400" w:type="dxa"/>
            <w:gridSpan w:val="2"/>
            <w:tcBorders>
              <w:bottom w:val="single" w:sz="6" w:space="0" w:color="2E74B5"/>
            </w:tcBorders>
            <w:tcMar>
              <w:top w:w="0" w:type="dxa"/>
              <w:left w:w="0" w:type="dxa"/>
              <w:bottom w:w="0" w:type="dxa"/>
              <w:right w:w="0" w:type="dxa"/>
            </w:tcMar>
          </w:tcPr>
          <w:p w14:paraId="21F1584C" w14:textId="77777777" w:rsidR="00DE7C7A" w:rsidRDefault="00000000">
            <w:pPr>
              <w:pStyle w:val="Heading1"/>
              <w:spacing w:after="20"/>
              <w:rPr>
                <w:rFonts w:ascii="Calibri" w:hAnsi="Calibri" w:cs="Calibri"/>
                <w:smallCaps/>
                <w:sz w:val="30"/>
                <w:szCs w:val="30"/>
              </w:rPr>
            </w:pPr>
            <w:r>
              <w:rPr>
                <w:rFonts w:ascii="Calibri" w:hAnsi="Calibri" w:cs="Calibri"/>
                <w:smallCaps/>
                <w:sz w:val="30"/>
                <w:szCs w:val="30"/>
              </w:rPr>
              <w:t>QUESTION</w:t>
            </w:r>
          </w:p>
        </w:tc>
      </w:tr>
      <w:tr w:rsidR="00DE7C7A" w14:paraId="54CE11DE" w14:textId="77777777">
        <w:tc>
          <w:tcPr>
            <w:tcW w:w="14400" w:type="dxa"/>
            <w:gridSpan w:val="2"/>
            <w:tcBorders>
              <w:bottom w:val="single" w:sz="6" w:space="0" w:color="2E74B5"/>
              <w:right w:val="single" w:sz="6" w:space="0" w:color="2E74B5"/>
            </w:tcBorders>
            <w:shd w:val="clear" w:color="auto" w:fill="2E74B5"/>
            <w:tcMar>
              <w:top w:w="75" w:type="dxa"/>
              <w:left w:w="75" w:type="dxa"/>
              <w:bottom w:w="75" w:type="dxa"/>
              <w:right w:w="75" w:type="dxa"/>
            </w:tcMar>
          </w:tcPr>
          <w:p w14:paraId="07B856BB" w14:textId="77777777" w:rsidR="00DE7C7A" w:rsidRDefault="00000000">
            <w:pPr>
              <w:pBdr>
                <w:top w:val="nil"/>
                <w:left w:val="nil"/>
                <w:bottom w:val="nil"/>
                <w:right w:val="nil"/>
                <w:between w:val="nil"/>
              </w:pBdr>
              <w:spacing w:after="0" w:line="240" w:lineRule="auto"/>
              <w:rPr>
                <w:b/>
                <w:color w:val="FFFFFF"/>
                <w:sz w:val="28"/>
                <w:szCs w:val="28"/>
              </w:rPr>
            </w:pPr>
            <w:r>
              <w:rPr>
                <w:b/>
                <w:color w:val="FFFFFF"/>
                <w:sz w:val="28"/>
                <w:szCs w:val="28"/>
              </w:rPr>
              <w:t>Neuron Specific Enolase (NSE) for prediction of good neurological outcome in adults with cardiac arrest</w:t>
            </w:r>
          </w:p>
          <w:p w14:paraId="45E3F22A" w14:textId="77777777" w:rsidR="00DE7C7A" w:rsidRDefault="00000000">
            <w:pPr>
              <w:pBdr>
                <w:top w:val="nil"/>
                <w:left w:val="nil"/>
                <w:bottom w:val="nil"/>
                <w:right w:val="nil"/>
                <w:between w:val="nil"/>
              </w:pBdr>
              <w:spacing w:after="0" w:line="240" w:lineRule="auto"/>
              <w:rPr>
                <w:b/>
                <w:color w:val="FFFFFF"/>
                <w:sz w:val="28"/>
                <w:szCs w:val="28"/>
              </w:rPr>
            </w:pPr>
            <w:r>
              <w:rPr>
                <w:b/>
                <w:color w:val="FFFFFF"/>
                <w:sz w:val="28"/>
                <w:szCs w:val="28"/>
              </w:rPr>
              <w:t>(Subsection of Prognostication ETD)</w:t>
            </w:r>
          </w:p>
        </w:tc>
      </w:tr>
      <w:tr w:rsidR="00DE7C7A" w14:paraId="11A1A698" w14:textId="77777777">
        <w:tc>
          <w:tcPr>
            <w:tcW w:w="1600" w:type="dxa"/>
            <w:tcBorders>
              <w:bottom w:val="single" w:sz="6" w:space="0" w:color="2E74B5"/>
            </w:tcBorders>
            <w:shd w:val="clear" w:color="auto" w:fill="2E74B5"/>
            <w:tcMar>
              <w:top w:w="75" w:type="dxa"/>
              <w:left w:w="75" w:type="dxa"/>
              <w:bottom w:w="75" w:type="dxa"/>
              <w:right w:w="75" w:type="dxa"/>
            </w:tcMar>
          </w:tcPr>
          <w:p w14:paraId="00905EF9" w14:textId="77777777" w:rsidR="00DE7C7A"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POPULATION:</w:t>
            </w:r>
          </w:p>
        </w:tc>
        <w:tc>
          <w:tcPr>
            <w:tcW w:w="12800" w:type="dxa"/>
            <w:tcBorders>
              <w:bottom w:val="single" w:sz="6" w:space="0" w:color="2E74B5"/>
              <w:right w:val="single" w:sz="6" w:space="0" w:color="2E74B5"/>
            </w:tcBorders>
            <w:tcMar>
              <w:top w:w="75" w:type="dxa"/>
              <w:left w:w="75" w:type="dxa"/>
              <w:bottom w:w="75" w:type="dxa"/>
              <w:right w:w="75" w:type="dxa"/>
            </w:tcMar>
          </w:tcPr>
          <w:p w14:paraId="3D982A75" w14:textId="77777777" w:rsidR="00DE7C7A" w:rsidRDefault="00000000">
            <w:pPr>
              <w:spacing w:after="0"/>
              <w:rPr>
                <w:sz w:val="20"/>
                <w:szCs w:val="20"/>
              </w:rPr>
            </w:pPr>
            <w:r>
              <w:rPr>
                <w:sz w:val="20"/>
                <w:szCs w:val="20"/>
              </w:rPr>
              <w:t>Adults who are comatose after resuscitation from cardiac arrest (either in-hospital or out-of-hospital), regardless of target temperature management.</w:t>
            </w:r>
          </w:p>
        </w:tc>
      </w:tr>
      <w:tr w:rsidR="00DE7C7A" w14:paraId="5648E0AC" w14:textId="77777777">
        <w:tc>
          <w:tcPr>
            <w:tcW w:w="1600" w:type="dxa"/>
            <w:tcBorders>
              <w:bottom w:val="single" w:sz="6" w:space="0" w:color="2E74B5"/>
            </w:tcBorders>
            <w:shd w:val="clear" w:color="auto" w:fill="2E74B5"/>
            <w:tcMar>
              <w:top w:w="75" w:type="dxa"/>
              <w:left w:w="75" w:type="dxa"/>
              <w:bottom w:w="75" w:type="dxa"/>
              <w:right w:w="75" w:type="dxa"/>
            </w:tcMar>
          </w:tcPr>
          <w:p w14:paraId="0180DD3B" w14:textId="77777777" w:rsidR="00DE7C7A"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INTERVENTION:</w:t>
            </w:r>
          </w:p>
        </w:tc>
        <w:tc>
          <w:tcPr>
            <w:tcW w:w="12800" w:type="dxa"/>
            <w:tcBorders>
              <w:bottom w:val="single" w:sz="6" w:space="0" w:color="2E74B5"/>
              <w:right w:val="single" w:sz="6" w:space="0" w:color="2E74B5"/>
            </w:tcBorders>
            <w:tcMar>
              <w:top w:w="75" w:type="dxa"/>
              <w:left w:w="75" w:type="dxa"/>
              <w:bottom w:w="75" w:type="dxa"/>
              <w:right w:w="75" w:type="dxa"/>
            </w:tcMar>
          </w:tcPr>
          <w:p w14:paraId="47B3C2E7" w14:textId="77777777" w:rsidR="00DE7C7A" w:rsidRDefault="00000000">
            <w:pPr>
              <w:pBdr>
                <w:top w:val="nil"/>
                <w:left w:val="nil"/>
                <w:bottom w:val="nil"/>
                <w:right w:val="nil"/>
                <w:between w:val="nil"/>
              </w:pBdr>
              <w:spacing w:after="0" w:line="240" w:lineRule="auto"/>
              <w:rPr>
                <w:color w:val="000000"/>
                <w:sz w:val="20"/>
                <w:szCs w:val="20"/>
              </w:rPr>
            </w:pPr>
            <w:r>
              <w:rPr>
                <w:color w:val="000000"/>
                <w:sz w:val="20"/>
                <w:szCs w:val="20"/>
              </w:rPr>
              <w:t>Neuron specific enolase (NSE), assessed within 72 h after cardiac arrest.</w:t>
            </w:r>
          </w:p>
        </w:tc>
      </w:tr>
      <w:tr w:rsidR="00DE7C7A" w14:paraId="557D5F6E" w14:textId="77777777">
        <w:tc>
          <w:tcPr>
            <w:tcW w:w="1600" w:type="dxa"/>
            <w:tcBorders>
              <w:bottom w:val="single" w:sz="6" w:space="0" w:color="2E74B5"/>
            </w:tcBorders>
            <w:shd w:val="clear" w:color="auto" w:fill="2E74B5"/>
            <w:tcMar>
              <w:top w:w="75" w:type="dxa"/>
              <w:left w:w="75" w:type="dxa"/>
              <w:bottom w:w="75" w:type="dxa"/>
              <w:right w:w="75" w:type="dxa"/>
            </w:tcMar>
          </w:tcPr>
          <w:p w14:paraId="44E01A19" w14:textId="77777777" w:rsidR="00DE7C7A"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COMPARISON:</w:t>
            </w:r>
          </w:p>
        </w:tc>
        <w:tc>
          <w:tcPr>
            <w:tcW w:w="12800" w:type="dxa"/>
            <w:tcBorders>
              <w:bottom w:val="single" w:sz="6" w:space="0" w:color="2E74B5"/>
              <w:right w:val="single" w:sz="6" w:space="0" w:color="2E74B5"/>
            </w:tcBorders>
            <w:tcMar>
              <w:top w:w="75" w:type="dxa"/>
              <w:left w:w="75" w:type="dxa"/>
              <w:bottom w:w="75" w:type="dxa"/>
              <w:right w:w="75" w:type="dxa"/>
            </w:tcMar>
          </w:tcPr>
          <w:p w14:paraId="64561556" w14:textId="77777777" w:rsidR="00DE7C7A" w:rsidRDefault="00000000">
            <w:pPr>
              <w:pBdr>
                <w:top w:val="nil"/>
                <w:left w:val="nil"/>
                <w:bottom w:val="nil"/>
                <w:right w:val="nil"/>
                <w:between w:val="nil"/>
              </w:pBdr>
              <w:spacing w:after="0" w:line="240" w:lineRule="auto"/>
              <w:rPr>
                <w:i/>
                <w:color w:val="000000"/>
                <w:sz w:val="20"/>
                <w:szCs w:val="20"/>
              </w:rPr>
            </w:pPr>
            <w:r>
              <w:rPr>
                <w:i/>
                <w:color w:val="000000"/>
                <w:sz w:val="20"/>
                <w:szCs w:val="20"/>
              </w:rPr>
              <w:t>None.</w:t>
            </w:r>
          </w:p>
        </w:tc>
      </w:tr>
      <w:tr w:rsidR="00DE7C7A" w14:paraId="35CD1DA9" w14:textId="77777777">
        <w:tc>
          <w:tcPr>
            <w:tcW w:w="1600" w:type="dxa"/>
            <w:tcBorders>
              <w:bottom w:val="single" w:sz="6" w:space="0" w:color="2E74B5"/>
            </w:tcBorders>
            <w:shd w:val="clear" w:color="auto" w:fill="2E74B5"/>
            <w:tcMar>
              <w:top w:w="75" w:type="dxa"/>
              <w:left w:w="75" w:type="dxa"/>
              <w:bottom w:w="75" w:type="dxa"/>
              <w:right w:w="75" w:type="dxa"/>
            </w:tcMar>
          </w:tcPr>
          <w:p w14:paraId="45C2DAF9" w14:textId="77777777" w:rsidR="00DE7C7A"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MAIN OUTCOMES:</w:t>
            </w:r>
          </w:p>
        </w:tc>
        <w:tc>
          <w:tcPr>
            <w:tcW w:w="12800" w:type="dxa"/>
            <w:tcBorders>
              <w:bottom w:val="single" w:sz="6" w:space="0" w:color="2E74B5"/>
              <w:right w:val="single" w:sz="6" w:space="0" w:color="2E74B5"/>
            </w:tcBorders>
            <w:tcMar>
              <w:top w:w="75" w:type="dxa"/>
              <w:left w:w="75" w:type="dxa"/>
              <w:bottom w:w="75" w:type="dxa"/>
              <w:right w:w="75" w:type="dxa"/>
            </w:tcMar>
          </w:tcPr>
          <w:p w14:paraId="5F575E64" w14:textId="77777777" w:rsidR="00DE7C7A" w:rsidRDefault="00000000">
            <w:pPr>
              <w:spacing w:after="0"/>
              <w:rPr>
                <w:sz w:val="20"/>
                <w:szCs w:val="20"/>
              </w:rPr>
            </w:pPr>
            <w:r>
              <w:rPr>
                <w:sz w:val="20"/>
                <w:szCs w:val="20"/>
              </w:rPr>
              <w:t xml:space="preserve">Prediction of good neurological outcome defined as Cerebral Performance Categories (CPC) 1-2 at ICU discharge or at 6-12 months after cardiac arrest. </w:t>
            </w:r>
          </w:p>
        </w:tc>
      </w:tr>
      <w:tr w:rsidR="00DE7C7A" w14:paraId="25E0CB14" w14:textId="77777777">
        <w:tc>
          <w:tcPr>
            <w:tcW w:w="1600" w:type="dxa"/>
            <w:tcBorders>
              <w:bottom w:val="dotted" w:sz="4" w:space="0" w:color="000000"/>
            </w:tcBorders>
            <w:shd w:val="clear" w:color="auto" w:fill="2E74B5"/>
            <w:tcMar>
              <w:top w:w="75" w:type="dxa"/>
              <w:left w:w="75" w:type="dxa"/>
              <w:bottom w:w="75" w:type="dxa"/>
              <w:right w:w="75" w:type="dxa"/>
            </w:tcMar>
          </w:tcPr>
          <w:p w14:paraId="18F7B57D" w14:textId="77777777" w:rsidR="00DE7C7A"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STUDY DESIGN:</w:t>
            </w:r>
          </w:p>
        </w:tc>
        <w:tc>
          <w:tcPr>
            <w:tcW w:w="12800" w:type="dxa"/>
            <w:tcBorders>
              <w:bottom w:val="single" w:sz="4" w:space="0" w:color="000000"/>
              <w:right w:val="single" w:sz="6" w:space="0" w:color="2E74B5"/>
            </w:tcBorders>
            <w:tcMar>
              <w:top w:w="75" w:type="dxa"/>
              <w:left w:w="75" w:type="dxa"/>
              <w:bottom w:w="75" w:type="dxa"/>
              <w:right w:w="75" w:type="dxa"/>
            </w:tcMar>
          </w:tcPr>
          <w:p w14:paraId="71FA2EC2" w14:textId="77777777" w:rsidR="00DE7C7A"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Prognostic accuracy studies where the 2 x 2 contingency table (i.e., the number of true/false negatives and positives for prediction of good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were excluded.  </w:t>
            </w:r>
          </w:p>
        </w:tc>
      </w:tr>
      <w:tr w:rsidR="00DE7C7A" w14:paraId="11BD62D7" w14:textId="77777777">
        <w:tc>
          <w:tcPr>
            <w:tcW w:w="1600" w:type="dxa"/>
            <w:tcBorders>
              <w:top w:val="dotted" w:sz="4" w:space="0" w:color="000000"/>
              <w:bottom w:val="single" w:sz="6" w:space="0" w:color="2E74B5"/>
            </w:tcBorders>
            <w:shd w:val="clear" w:color="auto" w:fill="2E74B5"/>
            <w:tcMar>
              <w:top w:w="75" w:type="dxa"/>
              <w:left w:w="75" w:type="dxa"/>
              <w:bottom w:w="75" w:type="dxa"/>
              <w:right w:w="75" w:type="dxa"/>
            </w:tcMar>
          </w:tcPr>
          <w:p w14:paraId="3BDB88D2" w14:textId="77777777" w:rsidR="00DE7C7A" w:rsidRDefault="00000000">
            <w:pPr>
              <w:pBdr>
                <w:top w:val="nil"/>
                <w:left w:val="nil"/>
                <w:bottom w:val="nil"/>
                <w:right w:val="nil"/>
                <w:between w:val="nil"/>
              </w:pBdr>
              <w:spacing w:after="0" w:line="240" w:lineRule="auto"/>
              <w:rPr>
                <w:b/>
                <w:smallCaps/>
                <w:color w:val="FFFFFF"/>
                <w:sz w:val="20"/>
                <w:szCs w:val="20"/>
              </w:rPr>
            </w:pPr>
            <w:r>
              <w:rPr>
                <w:b/>
                <w:color w:val="FFFFFF"/>
                <w:sz w:val="20"/>
                <w:szCs w:val="20"/>
              </w:rPr>
              <w:t>TIMEFRAME:</w:t>
            </w:r>
          </w:p>
        </w:tc>
        <w:tc>
          <w:tcPr>
            <w:tcW w:w="12800" w:type="dxa"/>
            <w:tcBorders>
              <w:top w:val="single" w:sz="4" w:space="0" w:color="000000"/>
              <w:bottom w:val="single" w:sz="6" w:space="0" w:color="2E74B5"/>
              <w:right w:val="single" w:sz="6" w:space="0" w:color="2E74B5"/>
            </w:tcBorders>
            <w:tcMar>
              <w:top w:w="75" w:type="dxa"/>
              <w:left w:w="75" w:type="dxa"/>
              <w:bottom w:w="75" w:type="dxa"/>
              <w:right w:w="75" w:type="dxa"/>
            </w:tcMar>
          </w:tcPr>
          <w:p w14:paraId="701CAFDC" w14:textId="77777777" w:rsidR="00DE7C7A" w:rsidRDefault="00000000">
            <w:pPr>
              <w:pBdr>
                <w:top w:val="nil"/>
                <w:left w:val="nil"/>
                <w:bottom w:val="nil"/>
                <w:right w:val="nil"/>
                <w:between w:val="nil"/>
              </w:pBdr>
              <w:spacing w:after="0" w:line="240" w:lineRule="auto"/>
              <w:rPr>
                <w:color w:val="000000"/>
                <w:sz w:val="20"/>
                <w:szCs w:val="20"/>
              </w:rPr>
            </w:pPr>
            <w:r>
              <w:rPr>
                <w:color w:val="000000"/>
                <w:sz w:val="20"/>
                <w:szCs w:val="20"/>
              </w:rPr>
              <w:t>An ILCOR review from 2013 and an update from 2020 presented the evidence of predictors of poor neurological outcome after cardiac arrest. More recently, several studies identifying predictors of good neurological outcome after cardiac arrest have been published, therefore an ILCOR evidence review for predictors of good neurological outcome after cardiac arrest is necessary. A systematic review was published in 2021 identified three studies that evaluated the use of NSE for prediction of good functional outcome and an updated search conducted in May 2022 identified one more study.</w:t>
            </w:r>
          </w:p>
          <w:p w14:paraId="17938761" w14:textId="77777777" w:rsidR="00DE7C7A" w:rsidRDefault="00DE7C7A">
            <w:pPr>
              <w:pBdr>
                <w:top w:val="nil"/>
                <w:left w:val="nil"/>
                <w:bottom w:val="nil"/>
                <w:right w:val="nil"/>
                <w:between w:val="nil"/>
              </w:pBdr>
              <w:spacing w:after="0" w:line="240" w:lineRule="auto"/>
              <w:rPr>
                <w:color w:val="000000"/>
                <w:sz w:val="20"/>
                <w:szCs w:val="20"/>
              </w:rPr>
            </w:pPr>
          </w:p>
        </w:tc>
      </w:tr>
    </w:tbl>
    <w:p w14:paraId="29859A57" w14:textId="77777777" w:rsidR="00DE7C7A"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ASSESSMENT</w:t>
      </w:r>
    </w:p>
    <w:tbl>
      <w:tblPr>
        <w:tblStyle w:val="a0"/>
        <w:tblW w:w="14384" w:type="dxa"/>
        <w:tblLayout w:type="fixed"/>
        <w:tblLook w:val="0400" w:firstRow="0" w:lastRow="0" w:firstColumn="0" w:lastColumn="0" w:noHBand="0" w:noVBand="1"/>
      </w:tblPr>
      <w:tblGrid>
        <w:gridCol w:w="3147"/>
        <w:gridCol w:w="8698"/>
        <w:gridCol w:w="2539"/>
      </w:tblGrid>
      <w:tr w:rsidR="00DE7C7A" w14:paraId="1D8707AE" w14:textId="77777777">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057EB2FB"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Problem</w:t>
            </w:r>
          </w:p>
          <w:p w14:paraId="68A50393" w14:textId="77777777" w:rsidR="00DE7C7A" w:rsidRDefault="00000000">
            <w:pPr>
              <w:pBdr>
                <w:top w:val="nil"/>
                <w:left w:val="nil"/>
                <w:bottom w:val="nil"/>
                <w:right w:val="nil"/>
                <w:between w:val="nil"/>
              </w:pBdr>
              <w:spacing w:after="0" w:line="240" w:lineRule="auto"/>
              <w:rPr>
                <w:color w:val="FFFFFF"/>
                <w:sz w:val="16"/>
                <w:szCs w:val="16"/>
              </w:rPr>
            </w:pPr>
            <w:r>
              <w:rPr>
                <w:color w:val="FFFFFF"/>
                <w:sz w:val="16"/>
                <w:szCs w:val="16"/>
              </w:rPr>
              <w:t>Is the problem a priority?</w:t>
            </w:r>
          </w:p>
        </w:tc>
      </w:tr>
      <w:tr w:rsidR="00DE7C7A" w14:paraId="55933954"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3E598D" w14:textId="77777777" w:rsidR="00DE7C7A"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E7107" w14:textId="77777777" w:rsidR="00DE7C7A"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430E96" w14:textId="77777777" w:rsidR="00DE7C7A"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DE7C7A" w14:paraId="4BB01DC5"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0B2522" w14:textId="77777777" w:rsidR="00DE7C7A"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9C461F" w14:textId="77777777" w:rsidR="00DE7C7A" w:rsidRDefault="00000000">
            <w:pPr>
              <w:rPr>
                <w:sz w:val="20"/>
                <w:szCs w:val="20"/>
              </w:rPr>
            </w:pPr>
            <w:r>
              <w:rPr>
                <w:sz w:val="20"/>
                <w:szCs w:val="20"/>
              </w:rPr>
              <w:t xml:space="preserve">Neurologic injury is the most common cause of death in patients with post cardiac arrest syndrome. The majority of these deaths occur as a result of withdrawal of life-sustaining treatment (WLST) based on the high likelihood of severe hypoxic brain injury are the results of the prediction of poor neurological outcome. Neurological prognostication after cardiac arrest is of utmost importance to avoid futile treatments for unsalvageable patients but also to minimize the risk of falsely pessimistic prediction and self-fulfilling prophecy. Identifying patients with a likely good outcome based on prognostication results could facilitate the continuation of care in some unconscious patients.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3AD2A6" w14:textId="77777777" w:rsidR="00DE7C7A" w:rsidRDefault="00DE7C7A">
            <w:pPr>
              <w:rPr>
                <w:sz w:val="20"/>
                <w:szCs w:val="20"/>
              </w:rPr>
            </w:pPr>
          </w:p>
        </w:tc>
      </w:tr>
      <w:tr w:rsidR="00DE7C7A" w14:paraId="624C5DAB" w14:textId="77777777">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3E72E4E2"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Desirable Effects</w:t>
            </w:r>
          </w:p>
          <w:p w14:paraId="58C39588" w14:textId="77777777" w:rsidR="00DE7C7A"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desirable anticipated effects?</w:t>
            </w:r>
          </w:p>
        </w:tc>
      </w:tr>
      <w:tr w:rsidR="00DE7C7A" w14:paraId="2718F325"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B24C1A" w14:textId="77777777" w:rsidR="00DE7C7A"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1E5943" w14:textId="77777777" w:rsidR="00DE7C7A"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5334AF" w14:textId="77777777" w:rsidR="00DE7C7A"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DE7C7A" w14:paraId="0B27D7FC"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34968E" w14:textId="77777777" w:rsidR="00DE7C7A" w:rsidRDefault="00000000">
            <w:pPr>
              <w:rPr>
                <w:sz w:val="20"/>
                <w:szCs w:val="20"/>
              </w:rPr>
            </w:pPr>
            <w:r>
              <w:rPr>
                <w:sz w:val="20"/>
                <w:szCs w:val="20"/>
              </w:rPr>
              <w:t>○ Trivial</w:t>
            </w:r>
            <w:r>
              <w:rPr>
                <w:sz w:val="20"/>
                <w:szCs w:val="20"/>
              </w:rPr>
              <w:br/>
              <w:t>● Small</w:t>
            </w:r>
          </w:p>
          <w:p w14:paraId="13807D56" w14:textId="77777777" w:rsidR="00DE7C7A" w:rsidRDefault="00000000">
            <w:pPr>
              <w:rPr>
                <w:sz w:val="20"/>
                <w:szCs w:val="20"/>
              </w:rPr>
            </w:pPr>
            <w:r>
              <w:rPr>
                <w:sz w:val="20"/>
                <w:szCs w:val="20"/>
              </w:rPr>
              <w:t>○Moderate</w:t>
            </w:r>
            <w:r>
              <w:rPr>
                <w:sz w:val="20"/>
                <w:szCs w:val="20"/>
              </w:rPr>
              <w:br/>
              <w:t>○ Large</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55051D" w14:textId="77777777" w:rsidR="00DE7C7A" w:rsidRDefault="00000000">
            <w:pPr>
              <w:rPr>
                <w:sz w:val="20"/>
                <w:szCs w:val="20"/>
              </w:rPr>
            </w:pPr>
            <w:bookmarkStart w:id="0" w:name="_heading=h.gjdgxs" w:colFirst="0" w:colLast="0"/>
            <w:bookmarkEnd w:id="0"/>
            <w:r>
              <w:rPr>
                <w:sz w:val="20"/>
                <w:szCs w:val="20"/>
              </w:rPr>
              <w:t xml:space="preserve">NSE was investigated in four observational studies [Zellner, 2013; </w:t>
            </w:r>
            <w:proofErr w:type="spellStart"/>
            <w:r>
              <w:rPr>
                <w:sz w:val="20"/>
                <w:szCs w:val="20"/>
              </w:rPr>
              <w:t>Moseby-Knappe</w:t>
            </w:r>
            <w:proofErr w:type="spellEnd"/>
            <w:r>
              <w:rPr>
                <w:sz w:val="20"/>
                <w:szCs w:val="20"/>
              </w:rPr>
              <w:t xml:space="preserve">, 2021; </w:t>
            </w:r>
            <w:proofErr w:type="spellStart"/>
            <w:r>
              <w:rPr>
                <w:sz w:val="20"/>
                <w:szCs w:val="20"/>
              </w:rPr>
              <w:t>Streitberg</w:t>
            </w:r>
            <w:proofErr w:type="spellEnd"/>
            <w:r>
              <w:rPr>
                <w:sz w:val="20"/>
                <w:szCs w:val="20"/>
              </w:rPr>
              <w:t xml:space="preserve"> 2017, </w:t>
            </w:r>
            <w:proofErr w:type="spellStart"/>
            <w:r>
              <w:rPr>
                <w:sz w:val="20"/>
                <w:szCs w:val="20"/>
              </w:rPr>
              <w:t>Wihersaari</w:t>
            </w:r>
            <w:proofErr w:type="spellEnd"/>
            <w:r>
              <w:rPr>
                <w:sz w:val="20"/>
                <w:szCs w:val="20"/>
              </w:rPr>
              <w:t xml:space="preserve">]. </w:t>
            </w:r>
          </w:p>
          <w:p w14:paraId="2FB21535" w14:textId="77777777" w:rsidR="00DE7C7A" w:rsidRDefault="00000000">
            <w:pPr>
              <w:rPr>
                <w:sz w:val="20"/>
                <w:szCs w:val="20"/>
              </w:rPr>
            </w:pPr>
            <w:bookmarkStart w:id="1" w:name="_heading=h.u0bq7srpx8lm" w:colFirst="0" w:colLast="0"/>
            <w:bookmarkEnd w:id="1"/>
            <w:r>
              <w:rPr>
                <w:sz w:val="20"/>
                <w:szCs w:val="20"/>
              </w:rPr>
              <w:t xml:space="preserve">In two studies [Zellner, 2013; </w:t>
            </w:r>
            <w:proofErr w:type="spellStart"/>
            <w:r>
              <w:rPr>
                <w:sz w:val="20"/>
                <w:szCs w:val="20"/>
              </w:rPr>
              <w:t>Moseby-Knappe</w:t>
            </w:r>
            <w:proofErr w:type="spellEnd"/>
            <w:r>
              <w:rPr>
                <w:sz w:val="20"/>
                <w:szCs w:val="20"/>
              </w:rPr>
              <w:t xml:space="preserve">, 2021] blood NSE values within the upper limit of the normal range (17–18 </w:t>
            </w:r>
            <w:proofErr w:type="spellStart"/>
            <w:r>
              <w:rPr>
                <w:sz w:val="20"/>
                <w:szCs w:val="20"/>
              </w:rPr>
              <w:t>μg</w:t>
            </w:r>
            <w:proofErr w:type="spellEnd"/>
            <w:r>
              <w:rPr>
                <w:sz w:val="20"/>
                <w:szCs w:val="20"/>
              </w:rPr>
              <w:t>/L) at 24h predicted good neurological outcome at 6 months with specificities of 85% and 89%, respectively (sensitivities 46% and 26%, respectively). At 48h normal NSE values predicted good neurological outcome with specificities of 84% and 89% (corresponding sensitivities 58% and 41%). certainty of evidence low or moderate</w:t>
            </w:r>
          </w:p>
          <w:p w14:paraId="5DE46CC4" w14:textId="77777777" w:rsidR="00DE7C7A" w:rsidRDefault="00000000">
            <w:pPr>
              <w:rPr>
                <w:sz w:val="20"/>
                <w:szCs w:val="20"/>
              </w:rPr>
            </w:pPr>
            <w:r>
              <w:rPr>
                <w:sz w:val="20"/>
                <w:szCs w:val="20"/>
              </w:rPr>
              <w:t>One study [</w:t>
            </w:r>
            <w:proofErr w:type="spellStart"/>
            <w:r>
              <w:rPr>
                <w:sz w:val="20"/>
                <w:szCs w:val="20"/>
              </w:rPr>
              <w:t>Moseby-Knappe</w:t>
            </w:r>
            <w:proofErr w:type="spellEnd"/>
            <w:r>
              <w:rPr>
                <w:sz w:val="20"/>
                <w:szCs w:val="20"/>
              </w:rPr>
              <w:t xml:space="preserve">, 2021] reported that normal NSE blood levels </w:t>
            </w:r>
            <w:proofErr w:type="gramStart"/>
            <w:r>
              <w:rPr>
                <w:sz w:val="20"/>
                <w:szCs w:val="20"/>
              </w:rPr>
              <w:t>(</w:t>
            </w:r>
            <w:r>
              <w:rPr>
                <w:rFonts w:ascii="Mate" w:eastAsia="Mate" w:hAnsi="Mate" w:cs="Mate"/>
                <w:sz w:val="20"/>
                <w:szCs w:val="20"/>
              </w:rPr>
              <w:t xml:space="preserve"> =</w:t>
            </w:r>
            <w:proofErr w:type="gramEnd"/>
            <w:r>
              <w:rPr>
                <w:rFonts w:ascii="Mate" w:eastAsia="Mate" w:hAnsi="Mate" w:cs="Mate"/>
                <w:sz w:val="20"/>
                <w:szCs w:val="20"/>
              </w:rPr>
              <w:t>&lt;</w:t>
            </w:r>
            <w:r>
              <w:rPr>
                <w:sz w:val="20"/>
                <w:szCs w:val="20"/>
              </w:rPr>
              <w:t xml:space="preserve">17 </w:t>
            </w:r>
            <w:proofErr w:type="spellStart"/>
            <w:r>
              <w:rPr>
                <w:sz w:val="20"/>
                <w:szCs w:val="20"/>
              </w:rPr>
              <w:t>μg</w:t>
            </w:r>
            <w:proofErr w:type="spellEnd"/>
            <w:r>
              <w:rPr>
                <w:sz w:val="20"/>
                <w:szCs w:val="20"/>
              </w:rPr>
              <w:t>/L) at 72h predicted good neurological outcome at 6 months after cardiac arrest with specificity of 80% and sensitivity of 75%. certainty of evidence low or moderate</w:t>
            </w:r>
          </w:p>
          <w:p w14:paraId="1F2D853B" w14:textId="77777777" w:rsidR="00DE7C7A" w:rsidRDefault="00000000">
            <w:pPr>
              <w:rPr>
                <w:sz w:val="20"/>
                <w:szCs w:val="20"/>
              </w:rPr>
            </w:pPr>
            <w:r>
              <w:rPr>
                <w:sz w:val="20"/>
                <w:szCs w:val="20"/>
              </w:rPr>
              <w:t>In one study [</w:t>
            </w:r>
            <w:proofErr w:type="spellStart"/>
            <w:r>
              <w:rPr>
                <w:sz w:val="20"/>
                <w:szCs w:val="20"/>
              </w:rPr>
              <w:t>Streitberger</w:t>
            </w:r>
            <w:proofErr w:type="spellEnd"/>
            <w:r>
              <w:rPr>
                <w:sz w:val="20"/>
                <w:szCs w:val="20"/>
              </w:rPr>
              <w:t xml:space="preserve">, 2017] normal blood NSE levels (=&lt; 17 </w:t>
            </w:r>
            <w:proofErr w:type="spellStart"/>
            <w:r>
              <w:rPr>
                <w:sz w:val="20"/>
                <w:szCs w:val="20"/>
              </w:rPr>
              <w:t>μg</w:t>
            </w:r>
            <w:proofErr w:type="spellEnd"/>
            <w:r>
              <w:rPr>
                <w:sz w:val="20"/>
                <w:szCs w:val="20"/>
              </w:rPr>
              <w:t>/</w:t>
            </w:r>
            <w:proofErr w:type="gramStart"/>
            <w:r>
              <w:rPr>
                <w:sz w:val="20"/>
                <w:szCs w:val="20"/>
              </w:rPr>
              <w:t>L )</w:t>
            </w:r>
            <w:proofErr w:type="gramEnd"/>
            <w:r>
              <w:rPr>
                <w:sz w:val="20"/>
                <w:szCs w:val="20"/>
              </w:rPr>
              <w:t xml:space="preserve"> at 72h predicted good neurological outcome at ICU discharge determined as CPC scores 1–3 with specificity of 87% and sensitivity of 33%. (</w:t>
            </w:r>
            <w:proofErr w:type="gramStart"/>
            <w:r>
              <w:rPr>
                <w:sz w:val="20"/>
                <w:szCs w:val="20"/>
              </w:rPr>
              <w:t>certainty</w:t>
            </w:r>
            <w:proofErr w:type="gramEnd"/>
            <w:r>
              <w:rPr>
                <w:sz w:val="20"/>
                <w:szCs w:val="20"/>
              </w:rPr>
              <w:t xml:space="preserve"> of evidence low or moderate)</w:t>
            </w:r>
          </w:p>
          <w:p w14:paraId="305CDCBC" w14:textId="77777777" w:rsidR="00DE7C7A" w:rsidRDefault="00000000">
            <w:pPr>
              <w:rPr>
                <w:sz w:val="20"/>
                <w:szCs w:val="20"/>
              </w:rPr>
            </w:pPr>
            <w:r>
              <w:rPr>
                <w:sz w:val="20"/>
                <w:szCs w:val="20"/>
              </w:rPr>
              <w:t>In one study [</w:t>
            </w:r>
            <w:proofErr w:type="spellStart"/>
            <w:r>
              <w:rPr>
                <w:sz w:val="20"/>
                <w:szCs w:val="20"/>
              </w:rPr>
              <w:t>Wihersaari</w:t>
            </w:r>
            <w:proofErr w:type="spellEnd"/>
            <w:r>
              <w:rPr>
                <w:sz w:val="20"/>
                <w:szCs w:val="20"/>
              </w:rPr>
              <w:t xml:space="preserve">, 2022] normal NSE values (=&lt; 17 </w:t>
            </w:r>
            <w:proofErr w:type="spellStart"/>
            <w:r>
              <w:rPr>
                <w:sz w:val="20"/>
                <w:szCs w:val="20"/>
              </w:rPr>
              <w:t>μg</w:t>
            </w:r>
            <w:proofErr w:type="spellEnd"/>
            <w:r>
              <w:rPr>
                <w:sz w:val="20"/>
                <w:szCs w:val="20"/>
              </w:rPr>
              <w:t>/</w:t>
            </w:r>
            <w:proofErr w:type="gramStart"/>
            <w:r>
              <w:rPr>
                <w:sz w:val="20"/>
                <w:szCs w:val="20"/>
              </w:rPr>
              <w:t>L )</w:t>
            </w:r>
            <w:proofErr w:type="gramEnd"/>
            <w:r>
              <w:rPr>
                <w:sz w:val="20"/>
                <w:szCs w:val="20"/>
              </w:rPr>
              <w:t xml:space="preserve"> at 48 hours predicted </w:t>
            </w:r>
            <w:proofErr w:type="spellStart"/>
            <w:r>
              <w:rPr>
                <w:sz w:val="20"/>
                <w:szCs w:val="20"/>
              </w:rPr>
              <w:t>favorable</w:t>
            </w:r>
            <w:proofErr w:type="spellEnd"/>
            <w:r>
              <w:rPr>
                <w:sz w:val="20"/>
                <w:szCs w:val="20"/>
              </w:rPr>
              <w:t xml:space="preserve"> functional outcome at 12 months with a specificity of 54% and sensitivity of 90%.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CE9E4" w14:textId="77777777" w:rsidR="00DE7C7A" w:rsidRDefault="00000000">
            <w:pPr>
              <w:rPr>
                <w:sz w:val="20"/>
                <w:szCs w:val="20"/>
              </w:rPr>
            </w:pPr>
            <w:r>
              <w:rPr>
                <w:sz w:val="20"/>
                <w:szCs w:val="20"/>
              </w:rPr>
              <w:t xml:space="preserve">All three studies determined the specificity for the normal upper limit of blood NSE levels. </w:t>
            </w:r>
          </w:p>
          <w:p w14:paraId="39F5C89D" w14:textId="77777777" w:rsidR="00DE7C7A" w:rsidRDefault="00000000">
            <w:pPr>
              <w:rPr>
                <w:sz w:val="20"/>
                <w:szCs w:val="20"/>
              </w:rPr>
            </w:pPr>
            <w:r>
              <w:rPr>
                <w:sz w:val="20"/>
                <w:szCs w:val="20"/>
              </w:rPr>
              <w:t>At 48h normal NSE blood level predicted good outcome with good specificities (84–89%) but only moderate sensitivity (41–58%).</w:t>
            </w:r>
          </w:p>
          <w:p w14:paraId="251E0162" w14:textId="77777777" w:rsidR="00DE7C7A" w:rsidRDefault="00000000">
            <w:pPr>
              <w:rPr>
                <w:sz w:val="20"/>
                <w:szCs w:val="20"/>
              </w:rPr>
            </w:pPr>
            <w:r>
              <w:rPr>
                <w:sz w:val="20"/>
                <w:szCs w:val="20"/>
              </w:rPr>
              <w:t xml:space="preserve">Patients dying from non-neurological causes may influence the neuronal </w:t>
            </w:r>
            <w:proofErr w:type="spellStart"/>
            <w:r>
              <w:rPr>
                <w:sz w:val="20"/>
                <w:szCs w:val="20"/>
              </w:rPr>
              <w:t>biomarkes</w:t>
            </w:r>
            <w:proofErr w:type="spellEnd"/>
            <w:r>
              <w:rPr>
                <w:sz w:val="20"/>
                <w:szCs w:val="20"/>
              </w:rPr>
              <w:t>’ ability to predict good outcome</w:t>
            </w:r>
          </w:p>
        </w:tc>
      </w:tr>
      <w:tr w:rsidR="00DE7C7A" w14:paraId="78978CAC" w14:textId="77777777">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129587B0"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Undesirable Effects</w:t>
            </w:r>
          </w:p>
          <w:p w14:paraId="0D8313B4" w14:textId="77777777" w:rsidR="00DE7C7A"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undesirable anticipated effects?</w:t>
            </w:r>
          </w:p>
        </w:tc>
      </w:tr>
      <w:tr w:rsidR="00DE7C7A" w14:paraId="2B8E694D"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FC89BC" w14:textId="77777777" w:rsidR="00DE7C7A"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3CD6D3" w14:textId="77777777" w:rsidR="00DE7C7A"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0A3B37" w14:textId="77777777" w:rsidR="00DE7C7A"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DE7C7A" w14:paraId="2F75F5C5" w14:textId="77777777">
        <w:trPr>
          <w:trHeight w:val="175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6A6AEB" w14:textId="77777777" w:rsidR="00DE7C7A" w:rsidRDefault="00000000">
            <w:pPr>
              <w:spacing w:after="0"/>
              <w:rPr>
                <w:sz w:val="20"/>
                <w:szCs w:val="20"/>
              </w:rPr>
            </w:pPr>
            <w:r>
              <w:rPr>
                <w:sz w:val="20"/>
                <w:szCs w:val="20"/>
              </w:rPr>
              <w:t>○ Large</w:t>
            </w:r>
            <w:r>
              <w:rPr>
                <w:sz w:val="20"/>
                <w:szCs w:val="20"/>
              </w:rPr>
              <w:br/>
              <w:t>○ Moderate</w:t>
            </w:r>
            <w:r>
              <w:rPr>
                <w:sz w:val="20"/>
                <w:szCs w:val="20"/>
              </w:rPr>
              <w:br/>
              <w:t>○ Small</w:t>
            </w:r>
            <w:r>
              <w:rPr>
                <w:sz w:val="20"/>
                <w:szCs w:val="20"/>
              </w:rPr>
              <w:br/>
              <w:t>● Trivial</w:t>
            </w:r>
            <w:r>
              <w:rPr>
                <w:sz w:val="20"/>
                <w:szCs w:val="20"/>
              </w:rPr>
              <w:br/>
              <w:t>○Varies </w:t>
            </w:r>
          </w:p>
          <w:p w14:paraId="3A9478D6" w14:textId="77777777" w:rsidR="00DE7C7A" w:rsidRDefault="00000000">
            <w:pPr>
              <w:rPr>
                <w:sz w:val="20"/>
                <w:szCs w:val="20"/>
              </w:rPr>
            </w:pPr>
            <w:r>
              <w:rPr>
                <w:sz w:val="20"/>
                <w:szCs w:val="20"/>
              </w:rPr>
              <w:t>○Don't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EC7DCF" w14:textId="77777777" w:rsidR="00DE7C7A" w:rsidRDefault="00000000">
            <w:pPr>
              <w:rPr>
                <w:sz w:val="20"/>
                <w:szCs w:val="20"/>
              </w:rPr>
            </w:pPr>
            <w:r>
              <w:rPr>
                <w:sz w:val="20"/>
                <w:szCs w:val="20"/>
              </w:rPr>
              <w:t>False positive prediction occurring in patients having</w:t>
            </w:r>
            <w:r>
              <w:t xml:space="preserve"> </w:t>
            </w:r>
            <w:r>
              <w:rPr>
                <w:sz w:val="20"/>
                <w:szCs w:val="20"/>
              </w:rPr>
              <w:t xml:space="preserve">serum NSE levels below the upper limit of normal range (17 </w:t>
            </w:r>
            <w:proofErr w:type="spellStart"/>
            <w:r>
              <w:rPr>
                <w:sz w:val="20"/>
                <w:szCs w:val="20"/>
              </w:rPr>
              <w:t>μg</w:t>
            </w:r>
            <w:proofErr w:type="spellEnd"/>
            <w:r>
              <w:rPr>
                <w:sz w:val="20"/>
                <w:szCs w:val="20"/>
              </w:rPr>
              <w:t>/</w:t>
            </w:r>
            <w:proofErr w:type="gramStart"/>
            <w:r>
              <w:rPr>
                <w:sz w:val="20"/>
                <w:szCs w:val="20"/>
              </w:rPr>
              <w:t>L )</w:t>
            </w:r>
            <w:proofErr w:type="gramEnd"/>
            <w:r>
              <w:rPr>
                <w:sz w:val="20"/>
                <w:szCs w:val="20"/>
              </w:rPr>
              <w:t xml:space="preserve"> may lead to falsely optimistic prediction, inappropriate continuation of life sustaining therapy and falsely optimistic information provided for relatives in patients destined to poor recovery. This is possible with the reported cut-off of 17 </w:t>
            </w:r>
            <w:proofErr w:type="spellStart"/>
            <w:r>
              <w:rPr>
                <w:sz w:val="20"/>
                <w:szCs w:val="20"/>
              </w:rPr>
              <w:t>μg</w:t>
            </w:r>
            <w:proofErr w:type="spellEnd"/>
            <w:r>
              <w:rPr>
                <w:sz w:val="20"/>
                <w:szCs w:val="20"/>
              </w:rPr>
              <w:t xml:space="preserve">/L for blood NSE given the specificity less than 90% to predict good outcome reported in all three studies.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A366C2" w14:textId="77777777" w:rsidR="00DE7C7A" w:rsidRDefault="00000000">
            <w:pPr>
              <w:rPr>
                <w:sz w:val="20"/>
                <w:szCs w:val="20"/>
              </w:rPr>
            </w:pPr>
            <w:r>
              <w:rPr>
                <w:sz w:val="20"/>
                <w:szCs w:val="20"/>
              </w:rPr>
              <w:t xml:space="preserve">NSE has confounding sources (red blood </w:t>
            </w:r>
            <w:proofErr w:type="spellStart"/>
            <w:proofErr w:type="gramStart"/>
            <w:r>
              <w:rPr>
                <w:sz w:val="20"/>
                <w:szCs w:val="20"/>
              </w:rPr>
              <w:t>cells;haemolysis</w:t>
            </w:r>
            <w:proofErr w:type="spellEnd"/>
            <w:proofErr w:type="gramEnd"/>
            <w:r>
              <w:rPr>
                <w:sz w:val="20"/>
                <w:szCs w:val="20"/>
              </w:rPr>
              <w:t xml:space="preserve">, neuroendocrine tumours), however, this is more of a problem in poor outcome prediction. </w:t>
            </w:r>
          </w:p>
          <w:p w14:paraId="62AA045B" w14:textId="77777777" w:rsidR="00DE7C7A" w:rsidRDefault="00000000">
            <w:pPr>
              <w:rPr>
                <w:sz w:val="20"/>
                <w:szCs w:val="20"/>
              </w:rPr>
            </w:pPr>
            <w:r>
              <w:rPr>
                <w:sz w:val="20"/>
                <w:szCs w:val="20"/>
              </w:rPr>
              <w:t xml:space="preserve">Method for NSE determination vary between laboratories and can </w:t>
            </w:r>
            <w:r>
              <w:rPr>
                <w:sz w:val="20"/>
                <w:szCs w:val="20"/>
              </w:rPr>
              <w:lastRenderedPageBreak/>
              <w:t>influence levels measured in the clinical/experimental settings</w:t>
            </w:r>
          </w:p>
        </w:tc>
      </w:tr>
      <w:tr w:rsidR="00DE7C7A" w14:paraId="13A0FD46" w14:textId="77777777">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5B6250D2"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Certainty of evidence</w:t>
            </w:r>
          </w:p>
          <w:p w14:paraId="65C3625A" w14:textId="77777777" w:rsidR="00DE7C7A"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overall certainty of the evidence of effects?</w:t>
            </w:r>
          </w:p>
        </w:tc>
      </w:tr>
      <w:tr w:rsidR="00DE7C7A" w14:paraId="7BEED26C"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213375" w14:textId="77777777" w:rsidR="00DE7C7A"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BFDEDA" w14:textId="77777777" w:rsidR="00DE7C7A"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D538BF" w14:textId="77777777" w:rsidR="00DE7C7A"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DE7C7A" w14:paraId="5FDF91D2" w14:textId="77777777">
        <w:trPr>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0B6DAD" w14:textId="77777777" w:rsidR="00DE7C7A" w:rsidRDefault="00000000">
            <w:pPr>
              <w:spacing w:after="0"/>
              <w:rPr>
                <w:sz w:val="20"/>
                <w:szCs w:val="20"/>
              </w:rPr>
            </w:pPr>
            <w:r>
              <w:rPr>
                <w:sz w:val="20"/>
                <w:szCs w:val="20"/>
              </w:rPr>
              <w:t>○ Very low</w:t>
            </w:r>
          </w:p>
          <w:p w14:paraId="157B43D1" w14:textId="77777777" w:rsidR="00DE7C7A" w:rsidRDefault="00000000">
            <w:pPr>
              <w:spacing w:after="0"/>
              <w:rPr>
                <w:sz w:val="20"/>
                <w:szCs w:val="20"/>
              </w:rPr>
            </w:pPr>
            <w:r>
              <w:rPr>
                <w:sz w:val="20"/>
                <w:szCs w:val="20"/>
              </w:rPr>
              <w:t>● Low</w:t>
            </w:r>
            <w:r>
              <w:rPr>
                <w:sz w:val="20"/>
                <w:szCs w:val="20"/>
              </w:rPr>
              <w:br/>
              <w:t>○ Moderate</w:t>
            </w:r>
            <w:r>
              <w:rPr>
                <w:sz w:val="20"/>
                <w:szCs w:val="20"/>
              </w:rPr>
              <w:br/>
              <w:t>○ High</w:t>
            </w:r>
            <w:r>
              <w:rPr>
                <w:sz w:val="20"/>
                <w:szCs w:val="20"/>
              </w:rPr>
              <w:br/>
              <w:t>○ No included studies</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E564B8" w14:textId="77777777" w:rsidR="00DE7C7A" w:rsidRDefault="00000000">
            <w:pPr>
              <w:rPr>
                <w:sz w:val="20"/>
                <w:szCs w:val="20"/>
              </w:rPr>
            </w:pPr>
            <w:r>
              <w:rPr>
                <w:sz w:val="20"/>
                <w:szCs w:val="20"/>
              </w:rPr>
              <w:t xml:space="preserve">The certainty of evidence for NSE in predicting good outcome is very low. There is imprecision given the wide variation in the sensitivities and specificities of NSE less than the upper limit of normal for the prediction of good outcome. In addition, there is the problem of indirectness as most studies have included only patients included in interventional randomized controlled trials with strict inclusion criteria. There is a clear risk of bias based on the use of NSE in clinical practice to withdraw care in case of high levels, </w:t>
            </w:r>
            <w:proofErr w:type="gramStart"/>
            <w:r>
              <w:rPr>
                <w:sz w:val="20"/>
                <w:szCs w:val="20"/>
              </w:rPr>
              <w:t>i.e.</w:t>
            </w:r>
            <w:proofErr w:type="gramEnd"/>
            <w:r>
              <w:rPr>
                <w:sz w:val="20"/>
                <w:szCs w:val="20"/>
              </w:rPr>
              <w:t xml:space="preserve"> a self-fulfilling prophecy. </w:t>
            </w:r>
          </w:p>
          <w:p w14:paraId="5F55BEBC" w14:textId="77777777" w:rsidR="00DE7C7A" w:rsidRDefault="00DE7C7A">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830E9B" w14:textId="77777777" w:rsidR="00DE7C7A" w:rsidRDefault="00000000">
            <w:pPr>
              <w:rPr>
                <w:sz w:val="20"/>
                <w:szCs w:val="20"/>
              </w:rPr>
            </w:pPr>
            <w:r>
              <w:rPr>
                <w:sz w:val="20"/>
                <w:szCs w:val="20"/>
              </w:rPr>
              <w:t>Differently from other predictors, like those based on clinical examination, NSE is not affected by sedation or paralysis, and it can be assessed blindly. However, in the studies we evaluated, results of NSE measurement were not concealed from the treating team.</w:t>
            </w:r>
          </w:p>
          <w:p w14:paraId="79D4481E" w14:textId="77777777" w:rsidR="00DE7C7A" w:rsidRDefault="00000000">
            <w:pPr>
              <w:rPr>
                <w:sz w:val="20"/>
                <w:szCs w:val="20"/>
              </w:rPr>
            </w:pPr>
            <w:r>
              <w:rPr>
                <w:sz w:val="20"/>
                <w:szCs w:val="20"/>
              </w:rPr>
              <w:t xml:space="preserve">An additional source of confounding is represented by the different available methods of measurement. </w:t>
            </w:r>
          </w:p>
        </w:tc>
      </w:tr>
      <w:tr w:rsidR="00DE7C7A" w14:paraId="28233F6A" w14:textId="77777777">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1EEA06EC"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Values</w:t>
            </w:r>
          </w:p>
          <w:p w14:paraId="13185937" w14:textId="77777777" w:rsidR="00DE7C7A" w:rsidRDefault="00000000">
            <w:pPr>
              <w:pBdr>
                <w:top w:val="nil"/>
                <w:left w:val="nil"/>
                <w:bottom w:val="nil"/>
                <w:right w:val="nil"/>
                <w:between w:val="nil"/>
              </w:pBdr>
              <w:spacing w:after="0" w:line="240" w:lineRule="auto"/>
              <w:rPr>
                <w:color w:val="FFFFFF"/>
                <w:sz w:val="16"/>
                <w:szCs w:val="16"/>
              </w:rPr>
            </w:pPr>
            <w:r>
              <w:rPr>
                <w:color w:val="FFFFFF"/>
                <w:sz w:val="16"/>
                <w:szCs w:val="16"/>
              </w:rPr>
              <w:t>Is there important uncertainty about or variability in how much people value the main outcomes?</w:t>
            </w:r>
          </w:p>
        </w:tc>
      </w:tr>
      <w:tr w:rsidR="00DE7C7A" w14:paraId="288DB267"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449454" w14:textId="77777777" w:rsidR="00DE7C7A"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FB5E04" w14:textId="77777777" w:rsidR="00DE7C7A"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290E7" w14:textId="77777777" w:rsidR="00DE7C7A"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DE7C7A" w14:paraId="6FA3ADEA"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01F401" w14:textId="77777777" w:rsidR="00DE7C7A" w:rsidRDefault="00000000">
            <w:pPr>
              <w:rPr>
                <w:sz w:val="20"/>
                <w:szCs w:val="20"/>
              </w:rPr>
            </w:pPr>
            <w:r>
              <w:rPr>
                <w:sz w:val="20"/>
                <w:szCs w:val="20"/>
              </w:rPr>
              <w:t>○ Important uncertainty or variability</w:t>
            </w:r>
            <w:r>
              <w:rPr>
                <w:sz w:val="20"/>
                <w:szCs w:val="20"/>
              </w:rPr>
              <w:br/>
              <w:t>● Possibly important uncertainty or variability</w:t>
            </w:r>
            <w:r>
              <w:rPr>
                <w:sz w:val="20"/>
                <w:szCs w:val="20"/>
              </w:rPr>
              <w:br/>
              <w:t>○ Probably no important uncertainty or variability</w:t>
            </w:r>
            <w:r>
              <w:rPr>
                <w:sz w:val="20"/>
                <w:szCs w:val="20"/>
              </w:rPr>
              <w:br/>
            </w:r>
            <w:r>
              <w:rPr>
                <w:sz w:val="20"/>
                <w:szCs w:val="20"/>
              </w:rPr>
              <w:lastRenderedPageBreak/>
              <w:t>○ No important uncertainty or variability</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FABB5A" w14:textId="77777777" w:rsidR="00DE7C7A" w:rsidRDefault="00000000">
            <w:pPr>
              <w:rPr>
                <w:sz w:val="20"/>
                <w:szCs w:val="20"/>
              </w:rPr>
            </w:pPr>
            <w:r>
              <w:rPr>
                <w:sz w:val="20"/>
                <w:szCs w:val="20"/>
              </w:rPr>
              <w:lastRenderedPageBreak/>
              <w:t>It is common to define CPC scores 1–2 as good neurological outcome after cardiac arrest. One found study [</w:t>
            </w:r>
            <w:proofErr w:type="spellStart"/>
            <w:r>
              <w:rPr>
                <w:sz w:val="20"/>
                <w:szCs w:val="20"/>
              </w:rPr>
              <w:t>Streiberger</w:t>
            </w:r>
            <w:proofErr w:type="spellEnd"/>
            <w:r>
              <w:rPr>
                <w:sz w:val="20"/>
                <w:szCs w:val="20"/>
              </w:rPr>
              <w:t>, 2017] used CPC scores 1–3 as the definition for good neurological recovery. There is limited data available regarding if some people value a CPC 1-3 as the same way as a CPC 1-2.</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F26899" w14:textId="77777777" w:rsidR="00DE7C7A" w:rsidRDefault="00DE7C7A">
            <w:pPr>
              <w:rPr>
                <w:sz w:val="20"/>
                <w:szCs w:val="20"/>
              </w:rPr>
            </w:pPr>
          </w:p>
        </w:tc>
      </w:tr>
      <w:tr w:rsidR="00DE7C7A" w14:paraId="2D529EF7" w14:textId="77777777">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7553DF6B"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Balance of effects</w:t>
            </w:r>
          </w:p>
          <w:p w14:paraId="2DAEFDFD" w14:textId="77777777" w:rsidR="00DE7C7A" w:rsidRDefault="00000000">
            <w:pPr>
              <w:pBdr>
                <w:top w:val="nil"/>
                <w:left w:val="nil"/>
                <w:bottom w:val="nil"/>
                <w:right w:val="nil"/>
                <w:between w:val="nil"/>
              </w:pBdr>
              <w:spacing w:after="0" w:line="240" w:lineRule="auto"/>
              <w:rPr>
                <w:color w:val="FFFFFF"/>
                <w:sz w:val="16"/>
                <w:szCs w:val="16"/>
              </w:rPr>
            </w:pPr>
            <w:r>
              <w:rPr>
                <w:color w:val="FFFFFF"/>
                <w:sz w:val="16"/>
                <w:szCs w:val="16"/>
              </w:rPr>
              <w:t xml:space="preserve">Does the balance between desirable and undesirable effects </w:t>
            </w:r>
            <w:proofErr w:type="spellStart"/>
            <w:r>
              <w:rPr>
                <w:color w:val="FFFFFF"/>
                <w:sz w:val="16"/>
                <w:szCs w:val="16"/>
              </w:rPr>
              <w:t>favor</w:t>
            </w:r>
            <w:proofErr w:type="spellEnd"/>
            <w:r>
              <w:rPr>
                <w:color w:val="FFFFFF"/>
                <w:sz w:val="16"/>
                <w:szCs w:val="16"/>
              </w:rPr>
              <w:t xml:space="preserve"> the intervention or the comparison?</w:t>
            </w:r>
          </w:p>
        </w:tc>
      </w:tr>
      <w:tr w:rsidR="00DE7C7A" w14:paraId="18B9CB8E"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A92B38"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EBD3BE"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26F60A"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DE7C7A" w14:paraId="7CC63E5F" w14:textId="77777777">
        <w:trPr>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C2CBF9" w14:textId="77777777" w:rsidR="00DE7C7A" w:rsidRDefault="00000000">
            <w:pPr>
              <w:rPr>
                <w:sz w:val="20"/>
                <w:szCs w:val="20"/>
              </w:rPr>
            </w:pPr>
            <w:r>
              <w:rPr>
                <w:sz w:val="20"/>
                <w:szCs w:val="20"/>
              </w:rPr>
              <w:t>○ </w:t>
            </w:r>
            <w:proofErr w:type="spellStart"/>
            <w:r>
              <w:rPr>
                <w:sz w:val="20"/>
                <w:szCs w:val="20"/>
              </w:rPr>
              <w:t>Favors</w:t>
            </w:r>
            <w:proofErr w:type="spellEnd"/>
            <w:r>
              <w:rPr>
                <w:sz w:val="20"/>
                <w:szCs w:val="20"/>
              </w:rPr>
              <w:t xml:space="preserve"> the comparison</w:t>
            </w:r>
            <w:r>
              <w:rPr>
                <w:sz w:val="20"/>
                <w:szCs w:val="20"/>
              </w:rPr>
              <w:br/>
              <w:t xml:space="preserve">○ Probably </w:t>
            </w:r>
            <w:proofErr w:type="spellStart"/>
            <w:r>
              <w:rPr>
                <w:sz w:val="20"/>
                <w:szCs w:val="20"/>
              </w:rPr>
              <w:t>favors</w:t>
            </w:r>
            <w:proofErr w:type="spellEnd"/>
            <w:r>
              <w:rPr>
                <w:sz w:val="20"/>
                <w:szCs w:val="20"/>
              </w:rPr>
              <w:t xml:space="preserve"> the comparison</w:t>
            </w:r>
            <w:r>
              <w:rPr>
                <w:sz w:val="20"/>
                <w:szCs w:val="20"/>
              </w:rPr>
              <w:br/>
              <w:t xml:space="preserve">○ Does not </w:t>
            </w:r>
            <w:proofErr w:type="spellStart"/>
            <w:r>
              <w:rPr>
                <w:sz w:val="20"/>
                <w:szCs w:val="20"/>
              </w:rPr>
              <w:t>favor</w:t>
            </w:r>
            <w:proofErr w:type="spellEnd"/>
            <w:r>
              <w:rPr>
                <w:sz w:val="20"/>
                <w:szCs w:val="20"/>
              </w:rPr>
              <w:t xml:space="preserve"> either the intervention or the comparison</w:t>
            </w:r>
            <w:r>
              <w:rPr>
                <w:sz w:val="20"/>
                <w:szCs w:val="20"/>
              </w:rPr>
              <w:br/>
              <w:t xml:space="preserve">● Probably </w:t>
            </w:r>
            <w:proofErr w:type="spellStart"/>
            <w:r>
              <w:rPr>
                <w:sz w:val="20"/>
                <w:szCs w:val="20"/>
              </w:rPr>
              <w:t>favors</w:t>
            </w:r>
            <w:proofErr w:type="spellEnd"/>
            <w:r>
              <w:rPr>
                <w:sz w:val="20"/>
                <w:szCs w:val="20"/>
              </w:rPr>
              <w:t xml:space="preserve"> the intervention</w:t>
            </w:r>
            <w:r>
              <w:rPr>
                <w:sz w:val="20"/>
                <w:szCs w:val="20"/>
              </w:rPr>
              <w:br/>
              <w:t>○ </w:t>
            </w:r>
            <w:proofErr w:type="spellStart"/>
            <w:r>
              <w:rPr>
                <w:sz w:val="20"/>
                <w:szCs w:val="20"/>
              </w:rPr>
              <w:t>Favors</w:t>
            </w:r>
            <w:proofErr w:type="spellEnd"/>
            <w:r>
              <w:rPr>
                <w:sz w:val="20"/>
                <w:szCs w:val="20"/>
              </w:rPr>
              <w:t xml:space="preserve"> the intervention</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17CA94" w14:textId="77777777" w:rsidR="00DE7C7A" w:rsidRDefault="00000000">
            <w:pPr>
              <w:rPr>
                <w:sz w:val="20"/>
                <w:szCs w:val="20"/>
              </w:rPr>
            </w:pPr>
            <w:r>
              <w:rPr>
                <w:sz w:val="20"/>
                <w:szCs w:val="20"/>
              </w:rPr>
              <w:t xml:space="preserve">NSE is recommended for the prediction of poor outcome in cardiac arrest patients Therefore the result will be available in many patients, and in case of a low level will favour prolonging care until other means of prognostication can be completed or the patient´s clinical status changes.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C34F4E" w14:textId="77777777" w:rsidR="00DE7C7A" w:rsidRDefault="00DE7C7A">
            <w:pPr>
              <w:rPr>
                <w:b/>
                <w:sz w:val="20"/>
                <w:szCs w:val="20"/>
              </w:rPr>
            </w:pPr>
          </w:p>
        </w:tc>
      </w:tr>
      <w:tr w:rsidR="00DE7C7A" w14:paraId="62B95876" w14:textId="77777777">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5C53B6F3"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Resources required</w:t>
            </w:r>
          </w:p>
          <w:p w14:paraId="129E6C9C" w14:textId="77777777" w:rsidR="00DE7C7A" w:rsidRDefault="00000000">
            <w:pPr>
              <w:pBdr>
                <w:top w:val="nil"/>
                <w:left w:val="nil"/>
                <w:bottom w:val="nil"/>
                <w:right w:val="nil"/>
                <w:between w:val="nil"/>
              </w:pBdr>
              <w:spacing w:after="0" w:line="240" w:lineRule="auto"/>
              <w:rPr>
                <w:color w:val="FFFFFF"/>
                <w:sz w:val="16"/>
                <w:szCs w:val="16"/>
              </w:rPr>
            </w:pPr>
            <w:r>
              <w:rPr>
                <w:color w:val="FFFFFF"/>
                <w:sz w:val="16"/>
                <w:szCs w:val="16"/>
              </w:rPr>
              <w:t>How large are the resource requirements (costs)?</w:t>
            </w:r>
          </w:p>
        </w:tc>
      </w:tr>
      <w:tr w:rsidR="00DE7C7A" w14:paraId="505B69AE"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83A51E"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627294"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D242D9"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DE7C7A" w14:paraId="7AA0AFFF" w14:textId="77777777">
        <w:trPr>
          <w:trHeight w:val="207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F212CC" w14:textId="77777777" w:rsidR="00DE7C7A" w:rsidRDefault="00000000">
            <w:pPr>
              <w:spacing w:after="0"/>
              <w:rPr>
                <w:sz w:val="20"/>
                <w:szCs w:val="20"/>
              </w:rPr>
            </w:pPr>
            <w:r>
              <w:rPr>
                <w:sz w:val="20"/>
                <w:szCs w:val="20"/>
              </w:rPr>
              <w:t>○ Large costs</w:t>
            </w:r>
            <w:r>
              <w:rPr>
                <w:sz w:val="20"/>
                <w:szCs w:val="20"/>
              </w:rPr>
              <w:br/>
              <w:t>○ Moderate costs</w:t>
            </w:r>
            <w:r>
              <w:rPr>
                <w:sz w:val="20"/>
                <w:szCs w:val="20"/>
              </w:rPr>
              <w:br/>
              <w:t>○Negligible costs and savings</w:t>
            </w:r>
            <w:r>
              <w:rPr>
                <w:sz w:val="20"/>
                <w:szCs w:val="20"/>
              </w:rPr>
              <w:br/>
              <w:t>○ Moderate savings</w:t>
            </w:r>
            <w:r>
              <w:rPr>
                <w:sz w:val="20"/>
                <w:szCs w:val="20"/>
              </w:rPr>
              <w:br/>
              <w:t>○ Large savings</w:t>
            </w:r>
            <w:r>
              <w:rPr>
                <w:sz w:val="20"/>
                <w:szCs w:val="20"/>
              </w:rPr>
              <w:br/>
              <w:t>○ Varies </w:t>
            </w:r>
          </w:p>
          <w:p w14:paraId="2AC80D1A" w14:textId="77777777" w:rsidR="00DE7C7A" w:rsidRDefault="00000000">
            <w:pPr>
              <w:rPr>
                <w:sz w:val="20"/>
                <w:szCs w:val="20"/>
              </w:rPr>
            </w:pPr>
            <w:proofErr w:type="gramStart"/>
            <w:r>
              <w:rPr>
                <w:sz w:val="20"/>
                <w:szCs w:val="20"/>
              </w:rPr>
              <w:t>●  Don't</w:t>
            </w:r>
            <w:proofErr w:type="gramEnd"/>
            <w:r>
              <w:rPr>
                <w:sz w:val="20"/>
                <w:szCs w:val="20"/>
              </w:rPr>
              <w:t xml:space="preserve">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AB74FD" w14:textId="77777777" w:rsidR="00DE7C7A" w:rsidRDefault="00000000">
            <w:pPr>
              <w:rPr>
                <w:sz w:val="20"/>
                <w:szCs w:val="20"/>
              </w:rPr>
            </w:pPr>
            <w:r>
              <w:rPr>
                <w:sz w:val="20"/>
                <w:szCs w:val="20"/>
              </w:rPr>
              <w:t>The costs of biomarkers’ assessment are higher when compared with prognostication without biomarkers. No study assessing cost from prognostication based on NSE has been included in our review.</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B3DFE1" w14:textId="77777777" w:rsidR="00DE7C7A" w:rsidRDefault="00000000">
            <w:pPr>
              <w:rPr>
                <w:sz w:val="20"/>
                <w:szCs w:val="20"/>
              </w:rPr>
            </w:pPr>
            <w:r>
              <w:rPr>
                <w:sz w:val="20"/>
                <w:szCs w:val="20"/>
              </w:rPr>
              <w:t>NSE is widely available in clinical laboratories</w:t>
            </w:r>
          </w:p>
        </w:tc>
      </w:tr>
      <w:tr w:rsidR="00DE7C7A" w14:paraId="4C7A6CB4" w14:textId="77777777">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018CD41C"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 of required resources</w:t>
            </w:r>
          </w:p>
          <w:p w14:paraId="12B1DD10" w14:textId="77777777" w:rsidR="00DE7C7A"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certainty of the evidence of resource requirements (costs)?</w:t>
            </w:r>
          </w:p>
        </w:tc>
      </w:tr>
      <w:tr w:rsidR="00DE7C7A" w14:paraId="36C48F79"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A91C15"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A715F6"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027162"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DE7C7A" w14:paraId="258C5AA3" w14:textId="77777777">
        <w:trPr>
          <w:trHeight w:val="13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C0EAC0" w14:textId="77777777" w:rsidR="00DE7C7A" w:rsidRDefault="00000000">
            <w:pPr>
              <w:rPr>
                <w:sz w:val="18"/>
                <w:szCs w:val="18"/>
              </w:rPr>
            </w:pPr>
            <w:r>
              <w:rPr>
                <w:sz w:val="18"/>
                <w:szCs w:val="18"/>
              </w:rPr>
              <w:lastRenderedPageBreak/>
              <w:t>○ Very low</w:t>
            </w:r>
            <w:r>
              <w:rPr>
                <w:sz w:val="18"/>
                <w:szCs w:val="18"/>
              </w:rPr>
              <w:br/>
              <w:t>○ Low</w:t>
            </w:r>
            <w:r>
              <w:rPr>
                <w:sz w:val="18"/>
                <w:szCs w:val="18"/>
              </w:rPr>
              <w:br/>
              <w:t>○ Moderate</w:t>
            </w:r>
            <w:r>
              <w:rPr>
                <w:sz w:val="18"/>
                <w:szCs w:val="18"/>
              </w:rPr>
              <w:br/>
              <w:t>○ High</w:t>
            </w:r>
            <w:r>
              <w:rPr>
                <w:sz w:val="18"/>
                <w:szCs w:val="18"/>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AA0C3" w14:textId="77777777" w:rsidR="00DE7C7A" w:rsidRDefault="00000000">
            <w:pPr>
              <w:rPr>
                <w:sz w:val="20"/>
                <w:szCs w:val="20"/>
              </w:rPr>
            </w:pPr>
            <w:r>
              <w:rPr>
                <w:sz w:val="20"/>
                <w:szCs w:val="20"/>
              </w:rPr>
              <w:t xml:space="preserve">We did not identify any studies specifically assessing costs of NSE for prognostication after cardiac arrest.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F650F4" w14:textId="77777777" w:rsidR="00DE7C7A" w:rsidRDefault="00000000">
            <w:pPr>
              <w:rPr>
                <w:sz w:val="18"/>
                <w:szCs w:val="18"/>
              </w:rPr>
            </w:pPr>
            <w:r>
              <w:rPr>
                <w:sz w:val="18"/>
                <w:szCs w:val="18"/>
              </w:rPr>
              <w:br/>
            </w:r>
          </w:p>
        </w:tc>
      </w:tr>
      <w:tr w:rsidR="00DE7C7A" w14:paraId="0F4B91D4" w14:textId="77777777">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147DE952"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Cost effectiveness</w:t>
            </w:r>
          </w:p>
          <w:p w14:paraId="3D6CBAEB" w14:textId="77777777" w:rsidR="00DE7C7A" w:rsidRDefault="00000000">
            <w:pPr>
              <w:pBdr>
                <w:top w:val="nil"/>
                <w:left w:val="nil"/>
                <w:bottom w:val="nil"/>
                <w:right w:val="nil"/>
                <w:between w:val="nil"/>
              </w:pBdr>
              <w:spacing w:after="0" w:line="240" w:lineRule="auto"/>
              <w:rPr>
                <w:color w:val="FFFFFF"/>
                <w:sz w:val="16"/>
                <w:szCs w:val="16"/>
              </w:rPr>
            </w:pPr>
            <w:r>
              <w:rPr>
                <w:color w:val="FFFFFF"/>
                <w:sz w:val="16"/>
                <w:szCs w:val="16"/>
              </w:rPr>
              <w:t xml:space="preserve">Does the cost-effectiveness of the intervention </w:t>
            </w:r>
            <w:proofErr w:type="spellStart"/>
            <w:r>
              <w:rPr>
                <w:color w:val="FFFFFF"/>
                <w:sz w:val="16"/>
                <w:szCs w:val="16"/>
              </w:rPr>
              <w:t>favor</w:t>
            </w:r>
            <w:proofErr w:type="spellEnd"/>
            <w:r>
              <w:rPr>
                <w:color w:val="FFFFFF"/>
                <w:sz w:val="16"/>
                <w:szCs w:val="16"/>
              </w:rPr>
              <w:t xml:space="preserve"> the intervention or the comparison?</w:t>
            </w:r>
          </w:p>
        </w:tc>
      </w:tr>
      <w:tr w:rsidR="00DE7C7A" w14:paraId="1BBC1A2E"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263E4A"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3099A4" w14:textId="77777777" w:rsidR="00DE7C7A" w:rsidRDefault="00000000">
            <w:pPr>
              <w:pStyle w:val="Heading2"/>
              <w:spacing w:before="0" w:after="0"/>
              <w:rPr>
                <w:rFonts w:ascii="Calibri" w:hAnsi="Calibri" w:cs="Calibri"/>
                <w:smallCaps/>
                <w:sz w:val="22"/>
                <w:szCs w:val="22"/>
              </w:rPr>
            </w:pPr>
            <w:r>
              <w:rPr>
                <w:rFonts w:ascii="Calibri" w:hAnsi="Calibri" w:cs="Calibri"/>
                <w:smallCaps/>
                <w:sz w:val="22"/>
                <w:szCs w:val="22"/>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82EC9D"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DE7C7A" w14:paraId="11E7B84B" w14:textId="77777777">
        <w:trPr>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4513B5" w14:textId="77777777" w:rsidR="00DE7C7A" w:rsidRDefault="00000000">
            <w:pPr>
              <w:rPr>
                <w:sz w:val="18"/>
                <w:szCs w:val="18"/>
              </w:rPr>
            </w:pPr>
            <w:r>
              <w:rPr>
                <w:sz w:val="18"/>
                <w:szCs w:val="18"/>
              </w:rPr>
              <w:t>○ </w:t>
            </w:r>
            <w:proofErr w:type="spellStart"/>
            <w:r>
              <w:rPr>
                <w:sz w:val="18"/>
                <w:szCs w:val="18"/>
              </w:rPr>
              <w:t>Favors</w:t>
            </w:r>
            <w:proofErr w:type="spellEnd"/>
            <w:r>
              <w:rPr>
                <w:sz w:val="18"/>
                <w:szCs w:val="18"/>
              </w:rPr>
              <w:t xml:space="preserve"> the comparison</w:t>
            </w:r>
            <w:r>
              <w:rPr>
                <w:sz w:val="18"/>
                <w:szCs w:val="18"/>
              </w:rPr>
              <w:br/>
              <w:t xml:space="preserve">○ Probably </w:t>
            </w:r>
            <w:proofErr w:type="spellStart"/>
            <w:r>
              <w:rPr>
                <w:sz w:val="18"/>
                <w:szCs w:val="18"/>
              </w:rPr>
              <w:t>favors</w:t>
            </w:r>
            <w:proofErr w:type="spellEnd"/>
            <w:r>
              <w:rPr>
                <w:sz w:val="18"/>
                <w:szCs w:val="18"/>
              </w:rPr>
              <w:t xml:space="preserve"> the comparison</w:t>
            </w:r>
            <w:r>
              <w:rPr>
                <w:sz w:val="18"/>
                <w:szCs w:val="18"/>
              </w:rPr>
              <w:br/>
              <w:t xml:space="preserve">○ Does not </w:t>
            </w:r>
            <w:proofErr w:type="spellStart"/>
            <w:r>
              <w:rPr>
                <w:sz w:val="18"/>
                <w:szCs w:val="18"/>
              </w:rPr>
              <w:t>favor</w:t>
            </w:r>
            <w:proofErr w:type="spellEnd"/>
            <w:r>
              <w:rPr>
                <w:sz w:val="18"/>
                <w:szCs w:val="18"/>
              </w:rPr>
              <w:t xml:space="preserve"> either the intervention or the comparison</w:t>
            </w:r>
            <w:r>
              <w:rPr>
                <w:sz w:val="18"/>
                <w:szCs w:val="18"/>
              </w:rPr>
              <w:br/>
              <w:t xml:space="preserve">○ Probably </w:t>
            </w:r>
            <w:proofErr w:type="spellStart"/>
            <w:r>
              <w:rPr>
                <w:sz w:val="18"/>
                <w:szCs w:val="18"/>
              </w:rPr>
              <w:t>favors</w:t>
            </w:r>
            <w:proofErr w:type="spellEnd"/>
            <w:r>
              <w:rPr>
                <w:sz w:val="18"/>
                <w:szCs w:val="18"/>
              </w:rPr>
              <w:t xml:space="preserve"> the intervention</w:t>
            </w:r>
            <w:r>
              <w:rPr>
                <w:sz w:val="18"/>
                <w:szCs w:val="18"/>
              </w:rPr>
              <w:br/>
              <w:t>○ </w:t>
            </w:r>
            <w:proofErr w:type="spellStart"/>
            <w:r>
              <w:rPr>
                <w:sz w:val="18"/>
                <w:szCs w:val="18"/>
              </w:rPr>
              <w:t>Favors</w:t>
            </w:r>
            <w:proofErr w:type="spellEnd"/>
            <w:r>
              <w:rPr>
                <w:sz w:val="18"/>
                <w:szCs w:val="18"/>
              </w:rPr>
              <w:t xml:space="preserve"> the intervention</w:t>
            </w:r>
            <w:r>
              <w:rPr>
                <w:sz w:val="18"/>
                <w:szCs w:val="18"/>
              </w:rPr>
              <w:br/>
              <w:t>○ Varies</w:t>
            </w:r>
            <w:r>
              <w:rPr>
                <w:sz w:val="18"/>
                <w:szCs w:val="18"/>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11B4AF" w14:textId="77777777" w:rsidR="00DE7C7A" w:rsidRDefault="00000000">
            <w:pPr>
              <w:rPr>
                <w:sz w:val="20"/>
                <w:szCs w:val="20"/>
              </w:rPr>
            </w:pPr>
            <w:r>
              <w:rPr>
                <w:sz w:val="20"/>
                <w:szCs w:val="20"/>
              </w:rPr>
              <w:t>We did not identify any studies addressing cost-effectiveness.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4D84AD" w14:textId="77777777" w:rsidR="00DE7C7A" w:rsidRDefault="00000000">
            <w:pPr>
              <w:rPr>
                <w:sz w:val="18"/>
                <w:szCs w:val="18"/>
              </w:rPr>
            </w:pPr>
            <w:r>
              <w:rPr>
                <w:sz w:val="18"/>
                <w:szCs w:val="18"/>
              </w:rPr>
              <w:br/>
            </w:r>
          </w:p>
        </w:tc>
      </w:tr>
      <w:tr w:rsidR="00DE7C7A" w14:paraId="6F135A8C" w14:textId="77777777">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0195C7C0"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Equity</w:t>
            </w:r>
          </w:p>
          <w:p w14:paraId="6A1CD48F" w14:textId="77777777" w:rsidR="00DE7C7A" w:rsidRDefault="00000000">
            <w:pPr>
              <w:pBdr>
                <w:top w:val="nil"/>
                <w:left w:val="nil"/>
                <w:bottom w:val="nil"/>
                <w:right w:val="nil"/>
                <w:between w:val="nil"/>
              </w:pBdr>
              <w:spacing w:after="0" w:line="240" w:lineRule="auto"/>
              <w:rPr>
                <w:color w:val="FFFFFF"/>
                <w:sz w:val="16"/>
                <w:szCs w:val="16"/>
              </w:rPr>
            </w:pPr>
            <w:r>
              <w:rPr>
                <w:color w:val="FFFFFF"/>
                <w:sz w:val="16"/>
                <w:szCs w:val="16"/>
              </w:rPr>
              <w:t>What would be the impact on health equity?</w:t>
            </w:r>
          </w:p>
        </w:tc>
      </w:tr>
      <w:tr w:rsidR="00DE7C7A" w14:paraId="73351F53"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85A80A"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8C7927"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1087C2"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DE7C7A" w14:paraId="0A55EC11" w14:textId="77777777">
        <w:trPr>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FFAB1D" w14:textId="77777777" w:rsidR="00DE7C7A" w:rsidRDefault="00000000">
            <w:pPr>
              <w:spacing w:after="0"/>
              <w:rPr>
                <w:sz w:val="18"/>
                <w:szCs w:val="18"/>
              </w:rPr>
            </w:pPr>
            <w:r>
              <w:rPr>
                <w:sz w:val="18"/>
                <w:szCs w:val="18"/>
              </w:rPr>
              <w:t>○ Reduced</w:t>
            </w:r>
            <w:r>
              <w:rPr>
                <w:sz w:val="18"/>
                <w:szCs w:val="18"/>
              </w:rPr>
              <w:br/>
              <w:t>● Probably reduced </w:t>
            </w:r>
          </w:p>
          <w:p w14:paraId="06544A09" w14:textId="77777777" w:rsidR="00DE7C7A" w:rsidRDefault="00000000">
            <w:pPr>
              <w:spacing w:after="0"/>
              <w:rPr>
                <w:sz w:val="18"/>
                <w:szCs w:val="18"/>
              </w:rPr>
            </w:pPr>
            <w:r>
              <w:rPr>
                <w:sz w:val="18"/>
                <w:szCs w:val="18"/>
              </w:rPr>
              <w:t>○ Probably no impact</w:t>
            </w:r>
            <w:r>
              <w:rPr>
                <w:sz w:val="18"/>
                <w:szCs w:val="18"/>
              </w:rPr>
              <w:br/>
              <w:t>○ Probably increased</w:t>
            </w:r>
            <w:r>
              <w:rPr>
                <w:sz w:val="18"/>
                <w:szCs w:val="18"/>
              </w:rPr>
              <w:br/>
              <w:t>○ Increased</w:t>
            </w:r>
            <w:r>
              <w:rPr>
                <w:sz w:val="18"/>
                <w:szCs w:val="18"/>
              </w:rPr>
              <w:br/>
              <w:t>○ Varies</w:t>
            </w:r>
          </w:p>
          <w:p w14:paraId="6AA8EE38" w14:textId="77777777" w:rsidR="00DE7C7A" w:rsidRDefault="00000000">
            <w:pPr>
              <w:spacing w:after="0"/>
              <w:rPr>
                <w:sz w:val="18"/>
                <w:szCs w:val="18"/>
              </w:rPr>
            </w:pPr>
            <w:r>
              <w:rPr>
                <w:sz w:val="18"/>
                <w:szCs w:val="18"/>
              </w:rPr>
              <w:t>○ Don't know</w:t>
            </w:r>
            <w:r>
              <w:rPr>
                <w:sz w:val="18"/>
                <w:szCs w:val="18"/>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C7C7F6" w14:textId="77777777" w:rsidR="00DE7C7A" w:rsidRDefault="00000000">
            <w:pPr>
              <w:rPr>
                <w:sz w:val="20"/>
                <w:szCs w:val="20"/>
              </w:rPr>
            </w:pPr>
            <w:r>
              <w:rPr>
                <w:sz w:val="20"/>
                <w:szCs w:val="20"/>
              </w:rPr>
              <w:t xml:space="preserve">A problem of inequity is possible, since assessment of biomarkers is a resource that cannot be universally available.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4F1E9B" w14:textId="77777777" w:rsidR="00DE7C7A" w:rsidRDefault="00000000">
            <w:pPr>
              <w:rPr>
                <w:sz w:val="18"/>
                <w:szCs w:val="18"/>
              </w:rPr>
            </w:pPr>
            <w:r>
              <w:rPr>
                <w:sz w:val="18"/>
                <w:szCs w:val="18"/>
              </w:rPr>
              <w:t>However, NSE is rather widely available in clinical laboratories</w:t>
            </w:r>
            <w:r>
              <w:rPr>
                <w:sz w:val="18"/>
                <w:szCs w:val="18"/>
              </w:rPr>
              <w:br/>
            </w:r>
          </w:p>
        </w:tc>
      </w:tr>
      <w:tr w:rsidR="00DE7C7A" w14:paraId="3E8FE839" w14:textId="77777777">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1D4DEDCB"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Acceptability</w:t>
            </w:r>
          </w:p>
          <w:p w14:paraId="51A83F44" w14:textId="77777777" w:rsidR="00DE7C7A" w:rsidRDefault="00000000">
            <w:pPr>
              <w:pBdr>
                <w:top w:val="nil"/>
                <w:left w:val="nil"/>
                <w:bottom w:val="nil"/>
                <w:right w:val="nil"/>
                <w:between w:val="nil"/>
              </w:pBdr>
              <w:spacing w:after="0" w:line="240" w:lineRule="auto"/>
              <w:rPr>
                <w:color w:val="FFFFFF"/>
                <w:sz w:val="16"/>
                <w:szCs w:val="16"/>
              </w:rPr>
            </w:pPr>
            <w:r>
              <w:rPr>
                <w:color w:val="FFFFFF"/>
                <w:sz w:val="16"/>
                <w:szCs w:val="16"/>
              </w:rPr>
              <w:t>Is the intervention acceptable to key stakeholders?</w:t>
            </w:r>
          </w:p>
        </w:tc>
      </w:tr>
      <w:tr w:rsidR="00DE7C7A" w14:paraId="44AC6EFB"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CA85A"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34FC7"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F838EB"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DE7C7A" w14:paraId="2C70FA6A" w14:textId="77777777">
        <w:trPr>
          <w:trHeight w:val="47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2A6455" w14:textId="77777777" w:rsidR="00DE7C7A" w:rsidRDefault="00000000">
            <w:pPr>
              <w:rPr>
                <w:sz w:val="18"/>
                <w:szCs w:val="18"/>
              </w:rPr>
            </w:pPr>
            <w:r>
              <w:rPr>
                <w:sz w:val="18"/>
                <w:szCs w:val="18"/>
              </w:rPr>
              <w:t>○ No</w:t>
            </w:r>
            <w:r>
              <w:rPr>
                <w:sz w:val="18"/>
                <w:szCs w:val="18"/>
              </w:rPr>
              <w:br/>
              <w:t>○ Probably no</w:t>
            </w:r>
            <w:r>
              <w:rPr>
                <w:sz w:val="18"/>
                <w:szCs w:val="18"/>
              </w:rPr>
              <w:br/>
              <w:t>● Probably yes</w:t>
            </w:r>
            <w:r>
              <w:rPr>
                <w:sz w:val="18"/>
                <w:szCs w:val="18"/>
              </w:rPr>
              <w:br/>
            </w:r>
            <w:r>
              <w:rPr>
                <w:sz w:val="18"/>
                <w:szCs w:val="18"/>
              </w:rPr>
              <w:lastRenderedPageBreak/>
              <w:t>○ Yes</w:t>
            </w:r>
            <w:r>
              <w:rPr>
                <w:sz w:val="18"/>
                <w:szCs w:val="18"/>
              </w:rPr>
              <w:br/>
              <w:t>○ Varies</w:t>
            </w:r>
            <w:r>
              <w:rPr>
                <w:sz w:val="18"/>
                <w:szCs w:val="18"/>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57DFDA" w14:textId="77777777" w:rsidR="00DE7C7A" w:rsidRDefault="00000000">
            <w:pPr>
              <w:rPr>
                <w:sz w:val="20"/>
                <w:szCs w:val="20"/>
              </w:rPr>
            </w:pPr>
            <w:r>
              <w:rPr>
                <w:sz w:val="20"/>
                <w:szCs w:val="20"/>
              </w:rPr>
              <w:lastRenderedPageBreak/>
              <w:t xml:space="preserve">We have not identified any study assessing acceptability, but acceptability is likely as the use of NSE is already part of a multimodal approach to determine the prognosis after cardiac arrest. </w:t>
            </w:r>
          </w:p>
          <w:p w14:paraId="1D339945" w14:textId="77777777" w:rsidR="00DE7C7A" w:rsidRDefault="00DE7C7A"/>
          <w:p w14:paraId="5F8BB532" w14:textId="77777777" w:rsidR="00DE7C7A" w:rsidRDefault="00DE7C7A"/>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B323CC" w14:textId="77777777" w:rsidR="00DE7C7A" w:rsidRDefault="00DE7C7A">
            <w:pPr>
              <w:rPr>
                <w:sz w:val="18"/>
                <w:szCs w:val="18"/>
              </w:rPr>
            </w:pPr>
          </w:p>
        </w:tc>
      </w:tr>
      <w:tr w:rsidR="00DE7C7A" w14:paraId="51B444A6" w14:textId="77777777">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05437BEB"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Feasibility</w:t>
            </w:r>
          </w:p>
          <w:p w14:paraId="08F59DD2" w14:textId="77777777" w:rsidR="00DE7C7A" w:rsidRDefault="00000000">
            <w:pPr>
              <w:pBdr>
                <w:top w:val="nil"/>
                <w:left w:val="nil"/>
                <w:bottom w:val="nil"/>
                <w:right w:val="nil"/>
                <w:between w:val="nil"/>
              </w:pBdr>
              <w:spacing w:after="0" w:line="240" w:lineRule="auto"/>
              <w:rPr>
                <w:color w:val="FFFFFF"/>
                <w:sz w:val="16"/>
                <w:szCs w:val="16"/>
              </w:rPr>
            </w:pPr>
            <w:r>
              <w:rPr>
                <w:color w:val="FFFFFF"/>
                <w:sz w:val="16"/>
                <w:szCs w:val="16"/>
              </w:rPr>
              <w:t>Is the intervention feasible to implement?</w:t>
            </w:r>
          </w:p>
        </w:tc>
      </w:tr>
      <w:tr w:rsidR="00DE7C7A" w14:paraId="2D6098F1"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BA7976"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D25F97"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A9CE6B" w14:textId="77777777" w:rsidR="00DE7C7A"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DE7C7A" w14:paraId="1DFA80B4" w14:textId="77777777">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D8269F" w14:textId="77777777" w:rsidR="00DE7C7A"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4E9022" w14:textId="77777777" w:rsidR="00DE7C7A" w:rsidRDefault="00000000">
            <w:pPr>
              <w:rPr>
                <w:sz w:val="20"/>
                <w:szCs w:val="20"/>
              </w:rPr>
            </w:pPr>
            <w:r>
              <w:rPr>
                <w:sz w:val="20"/>
                <w:szCs w:val="20"/>
              </w:rPr>
              <w:t xml:space="preserve">Feasibility was not specifically addressed in any of the studies included in this review. Assessment of biomarkers requires resources that may not be universally available. However, NSE is already included as a means to identify patients with poor outcome as part of a multimodal approach. In addition, NSE is routinely measured in many hospitals and clinics as a tumour biomarker. The most important caution required during withdrawing and managing the blood sample is avoiding haemolysis.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C3142" w14:textId="77777777" w:rsidR="00DE7C7A" w:rsidRDefault="00000000">
            <w:pPr>
              <w:rPr>
                <w:sz w:val="20"/>
                <w:szCs w:val="20"/>
              </w:rPr>
            </w:pPr>
            <w:r>
              <w:rPr>
                <w:sz w:val="20"/>
                <w:szCs w:val="20"/>
              </w:rPr>
              <w:br/>
            </w:r>
          </w:p>
        </w:tc>
      </w:tr>
    </w:tbl>
    <w:p w14:paraId="2E28370F" w14:textId="77777777" w:rsidR="00DE7C7A" w:rsidRDefault="00000000">
      <w:pPr>
        <w:rPr>
          <w:b/>
          <w:smallCaps/>
          <w:color w:val="000000"/>
          <w:sz w:val="30"/>
          <w:szCs w:val="30"/>
        </w:rPr>
      </w:pPr>
      <w:r>
        <w:br w:type="page"/>
      </w:r>
    </w:p>
    <w:p w14:paraId="57D500BB" w14:textId="77777777" w:rsidR="00DE7C7A"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lastRenderedPageBreak/>
        <w:t>SUMMARY OF JUDGEMENTS</w:t>
      </w:r>
    </w:p>
    <w:tbl>
      <w:tblPr>
        <w:tblStyle w:val="a1"/>
        <w:tblW w:w="14391" w:type="dxa"/>
        <w:tblLayout w:type="fixed"/>
        <w:tblLook w:val="0400" w:firstRow="0" w:lastRow="0" w:firstColumn="0" w:lastColumn="0" w:noHBand="0" w:noVBand="1"/>
      </w:tblPr>
      <w:tblGrid>
        <w:gridCol w:w="2338"/>
        <w:gridCol w:w="1718"/>
        <w:gridCol w:w="1761"/>
        <w:gridCol w:w="1727"/>
        <w:gridCol w:w="1778"/>
        <w:gridCol w:w="1727"/>
        <w:gridCol w:w="1636"/>
        <w:gridCol w:w="1706"/>
      </w:tblGrid>
      <w:tr w:rsidR="00DE7C7A" w14:paraId="5960AC1F" w14:textId="77777777">
        <w:trPr>
          <w:tblHeader/>
        </w:trPr>
        <w:tc>
          <w:tcPr>
            <w:tcW w:w="2339" w:type="dxa"/>
            <w:tcMar>
              <w:top w:w="75" w:type="dxa"/>
              <w:left w:w="75" w:type="dxa"/>
              <w:bottom w:w="75" w:type="dxa"/>
              <w:right w:w="75" w:type="dxa"/>
            </w:tcMar>
            <w:vAlign w:val="center"/>
          </w:tcPr>
          <w:p w14:paraId="2189EE50" w14:textId="77777777" w:rsidR="00DE7C7A" w:rsidRDefault="00DE7C7A">
            <w:pPr>
              <w:rPr>
                <w:smallCaps/>
                <w:color w:val="000000"/>
                <w:sz w:val="30"/>
                <w:szCs w:val="30"/>
              </w:rPr>
            </w:pPr>
          </w:p>
        </w:tc>
        <w:tc>
          <w:tcPr>
            <w:tcW w:w="12053" w:type="dxa"/>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14:paraId="43882783" w14:textId="77777777" w:rsidR="00DE7C7A" w:rsidRDefault="00000000">
            <w:pPr>
              <w:pBdr>
                <w:top w:val="nil"/>
                <w:left w:val="nil"/>
                <w:bottom w:val="nil"/>
                <w:right w:val="nil"/>
                <w:between w:val="nil"/>
              </w:pBdr>
              <w:spacing w:after="0" w:line="240" w:lineRule="auto"/>
              <w:jc w:val="center"/>
              <w:rPr>
                <w:b/>
                <w:smallCaps/>
                <w:color w:val="FFFFFF"/>
                <w:sz w:val="28"/>
                <w:szCs w:val="28"/>
              </w:rPr>
            </w:pPr>
            <w:r>
              <w:rPr>
                <w:b/>
                <w:smallCaps/>
                <w:color w:val="FFFFFF"/>
                <w:sz w:val="28"/>
                <w:szCs w:val="28"/>
              </w:rPr>
              <w:t>JUDGEMENT</w:t>
            </w:r>
          </w:p>
        </w:tc>
      </w:tr>
      <w:tr w:rsidR="00DE7C7A" w14:paraId="15169F95" w14:textId="77777777">
        <w:tc>
          <w:tcPr>
            <w:tcW w:w="233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14:paraId="6CB811CD" w14:textId="77777777" w:rsidR="00DE7C7A"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PROBLEM</w:t>
            </w:r>
          </w:p>
        </w:tc>
        <w:tc>
          <w:tcPr>
            <w:tcW w:w="1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FDEEE"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683B3B"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B5407E"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yes</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77F77F" w14:textId="77777777" w:rsidR="00DE7C7A"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Yes</w:t>
            </w:r>
          </w:p>
        </w:tc>
        <w:tc>
          <w:tcPr>
            <w:tcW w:w="172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14:paraId="085E6ED3" w14:textId="77777777" w:rsidR="00DE7C7A" w:rsidRDefault="00DE7C7A">
            <w:pPr>
              <w:rPr>
                <w:b/>
                <w:color w:val="000000"/>
                <w:sz w:val="16"/>
                <w:szCs w:val="16"/>
              </w:rPr>
            </w:pPr>
          </w:p>
        </w:tc>
        <w:tc>
          <w:tcPr>
            <w:tcW w:w="1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CE4429"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199283"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DE7C7A" w14:paraId="08368D4F" w14:textId="77777777">
        <w:tc>
          <w:tcPr>
            <w:tcW w:w="233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14:paraId="1FF4D180" w14:textId="77777777" w:rsidR="00DE7C7A"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DESIRABLE EFFECTS</w:t>
            </w:r>
          </w:p>
        </w:tc>
        <w:tc>
          <w:tcPr>
            <w:tcW w:w="1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15E216" w14:textId="77777777" w:rsidR="00DE7C7A" w:rsidRDefault="00000000">
            <w:pPr>
              <w:pBdr>
                <w:top w:val="nil"/>
                <w:left w:val="nil"/>
                <w:bottom w:val="nil"/>
                <w:right w:val="nil"/>
                <w:between w:val="nil"/>
              </w:pBdr>
              <w:spacing w:after="0" w:line="256" w:lineRule="auto"/>
              <w:jc w:val="center"/>
              <w:rPr>
                <w:b/>
                <w:color w:val="000000"/>
                <w:sz w:val="20"/>
                <w:szCs w:val="20"/>
              </w:rPr>
            </w:pPr>
            <w:r>
              <w:rPr>
                <w:b/>
                <w:color w:val="A5A5A5"/>
                <w:sz w:val="20"/>
                <w:szCs w:val="20"/>
              </w:rPr>
              <w:t>Trivial</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8F1D83" w14:textId="77777777" w:rsidR="00DE7C7A" w:rsidRDefault="00000000">
            <w:pPr>
              <w:pBdr>
                <w:top w:val="nil"/>
                <w:left w:val="nil"/>
                <w:bottom w:val="nil"/>
                <w:right w:val="nil"/>
                <w:between w:val="nil"/>
              </w:pBdr>
              <w:spacing w:after="0" w:line="256" w:lineRule="auto"/>
              <w:jc w:val="center"/>
              <w:rPr>
                <w:b/>
                <w:color w:val="AEAAAA"/>
                <w:sz w:val="16"/>
                <w:szCs w:val="16"/>
              </w:rPr>
            </w:pPr>
            <w:r>
              <w:rPr>
                <w:b/>
                <w:color w:val="000000"/>
                <w:sz w:val="16"/>
                <w:szCs w:val="16"/>
              </w:rPr>
              <w:t>Small</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6C1B49"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5F7A30"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w:t>
            </w:r>
          </w:p>
        </w:tc>
        <w:tc>
          <w:tcPr>
            <w:tcW w:w="172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14:paraId="4CDF65E5" w14:textId="77777777" w:rsidR="00DE7C7A" w:rsidRDefault="00DE7C7A">
            <w:pPr>
              <w:rPr>
                <w:color w:val="AEAAAA"/>
                <w:sz w:val="16"/>
                <w:szCs w:val="16"/>
              </w:rPr>
            </w:pPr>
          </w:p>
        </w:tc>
        <w:tc>
          <w:tcPr>
            <w:tcW w:w="1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54CF98"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ACC60C" w14:textId="77777777" w:rsidR="00DE7C7A"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Don't know</w:t>
            </w:r>
          </w:p>
        </w:tc>
      </w:tr>
      <w:tr w:rsidR="00DE7C7A" w14:paraId="1BD75536" w14:textId="77777777">
        <w:tc>
          <w:tcPr>
            <w:tcW w:w="233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14:paraId="2FD7C619" w14:textId="77777777" w:rsidR="00DE7C7A"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UNDESIRABLE EFFECTS</w:t>
            </w:r>
          </w:p>
        </w:tc>
        <w:tc>
          <w:tcPr>
            <w:tcW w:w="1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D781FB"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A225F0" w14:textId="77777777" w:rsidR="00DE7C7A" w:rsidRDefault="00000000">
            <w:pPr>
              <w:pBdr>
                <w:top w:val="nil"/>
                <w:left w:val="nil"/>
                <w:bottom w:val="nil"/>
                <w:right w:val="nil"/>
                <w:between w:val="nil"/>
              </w:pBdr>
              <w:spacing w:after="0" w:line="256" w:lineRule="auto"/>
              <w:jc w:val="center"/>
              <w:rPr>
                <w:b/>
                <w:color w:val="BFBFBF"/>
                <w:sz w:val="16"/>
                <w:szCs w:val="16"/>
              </w:rPr>
            </w:pPr>
            <w:r>
              <w:rPr>
                <w:b/>
                <w:color w:val="BFBFBF"/>
                <w:sz w:val="16"/>
                <w:szCs w:val="16"/>
              </w:rPr>
              <w:t>Moderate</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966B63" w14:textId="77777777" w:rsidR="00DE7C7A" w:rsidRDefault="00000000">
            <w:pPr>
              <w:pBdr>
                <w:top w:val="nil"/>
                <w:left w:val="nil"/>
                <w:bottom w:val="nil"/>
                <w:right w:val="nil"/>
                <w:between w:val="nil"/>
              </w:pBdr>
              <w:spacing w:after="0" w:line="256" w:lineRule="auto"/>
              <w:jc w:val="center"/>
              <w:rPr>
                <w:color w:val="AEAAAA"/>
                <w:sz w:val="16"/>
                <w:szCs w:val="16"/>
              </w:rPr>
            </w:pPr>
            <w:r>
              <w:rPr>
                <w:color w:val="000000"/>
                <w:sz w:val="16"/>
                <w:szCs w:val="16"/>
              </w:rPr>
              <w:t>Small</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A290E7" w14:textId="77777777" w:rsidR="00DE7C7A"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Trivial</w:t>
            </w:r>
          </w:p>
        </w:tc>
        <w:tc>
          <w:tcPr>
            <w:tcW w:w="172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14:paraId="389DC2E3" w14:textId="77777777" w:rsidR="00DE7C7A" w:rsidRDefault="00DE7C7A">
            <w:pPr>
              <w:rPr>
                <w:color w:val="AEAAAA"/>
                <w:sz w:val="16"/>
                <w:szCs w:val="16"/>
              </w:rPr>
            </w:pPr>
          </w:p>
        </w:tc>
        <w:tc>
          <w:tcPr>
            <w:tcW w:w="1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4A578F"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DBB4E" w14:textId="77777777" w:rsidR="00DE7C7A" w:rsidRDefault="00000000">
            <w:pPr>
              <w:pBdr>
                <w:top w:val="nil"/>
                <w:left w:val="nil"/>
                <w:bottom w:val="nil"/>
                <w:right w:val="nil"/>
                <w:between w:val="nil"/>
              </w:pBdr>
              <w:spacing w:after="0" w:line="256" w:lineRule="auto"/>
              <w:jc w:val="center"/>
              <w:rPr>
                <w:b/>
                <w:color w:val="AEAAAA"/>
                <w:sz w:val="16"/>
                <w:szCs w:val="16"/>
              </w:rPr>
            </w:pPr>
            <w:r>
              <w:rPr>
                <w:b/>
                <w:color w:val="D9D9D9"/>
                <w:sz w:val="16"/>
                <w:szCs w:val="16"/>
              </w:rPr>
              <w:t>Don't know</w:t>
            </w:r>
          </w:p>
        </w:tc>
      </w:tr>
      <w:tr w:rsidR="00DE7C7A" w14:paraId="15D6D374" w14:textId="77777777">
        <w:tc>
          <w:tcPr>
            <w:tcW w:w="233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14:paraId="2EECC319" w14:textId="77777777" w:rsidR="00DE7C7A"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w:t>
            </w:r>
          </w:p>
        </w:tc>
        <w:tc>
          <w:tcPr>
            <w:tcW w:w="1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055EB0" w14:textId="77777777" w:rsidR="00DE7C7A" w:rsidRDefault="00000000">
            <w:pPr>
              <w:pBdr>
                <w:top w:val="nil"/>
                <w:left w:val="nil"/>
                <w:bottom w:val="nil"/>
                <w:right w:val="nil"/>
                <w:between w:val="nil"/>
              </w:pBdr>
              <w:spacing w:after="0" w:line="256" w:lineRule="auto"/>
              <w:jc w:val="center"/>
              <w:rPr>
                <w:color w:val="000000"/>
                <w:sz w:val="16"/>
                <w:szCs w:val="16"/>
              </w:rPr>
            </w:pPr>
            <w:r>
              <w:rPr>
                <w:color w:val="A6A6A6"/>
                <w:sz w:val="16"/>
                <w:szCs w:val="16"/>
              </w:rPr>
              <w:t>Very low</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0E6028" w14:textId="77777777" w:rsidR="00DE7C7A"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Low</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8B8652"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ACBC92"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2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14:paraId="7FCB237F" w14:textId="77777777" w:rsidR="00DE7C7A" w:rsidRDefault="00DE7C7A">
            <w:pPr>
              <w:rPr>
                <w:color w:val="AEAAAA"/>
                <w:sz w:val="16"/>
                <w:szCs w:val="16"/>
              </w:rPr>
            </w:pPr>
          </w:p>
        </w:tc>
        <w:tc>
          <w:tcPr>
            <w:tcW w:w="16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14:paraId="2F1DC602" w14:textId="77777777" w:rsidR="00DE7C7A" w:rsidRDefault="00DE7C7A">
            <w:pPr>
              <w:spacing w:after="0"/>
              <w:rPr>
                <w:sz w:val="20"/>
                <w:szCs w:val="20"/>
              </w:rPr>
            </w:pPr>
          </w:p>
        </w:tc>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4212C5"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included studies</w:t>
            </w:r>
          </w:p>
        </w:tc>
      </w:tr>
      <w:tr w:rsidR="00DE7C7A" w14:paraId="28D7555E" w14:textId="77777777">
        <w:tc>
          <w:tcPr>
            <w:tcW w:w="233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14:paraId="6D7AD258" w14:textId="77777777" w:rsidR="00DE7C7A"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VALUES</w:t>
            </w:r>
          </w:p>
        </w:tc>
        <w:tc>
          <w:tcPr>
            <w:tcW w:w="1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E46591"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Important uncertainty or variability</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193F39" w14:textId="77777777" w:rsidR="00DE7C7A"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Possibly important uncertainty or variability</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9B357C" w14:textId="77777777" w:rsidR="00DE7C7A"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Probably no important uncertainty or variability</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5FD6B4"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important uncertainty or variability</w:t>
            </w:r>
          </w:p>
        </w:tc>
        <w:tc>
          <w:tcPr>
            <w:tcW w:w="172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14:paraId="2FBC6639" w14:textId="77777777" w:rsidR="00DE7C7A" w:rsidRDefault="00DE7C7A">
            <w:pPr>
              <w:rPr>
                <w:color w:val="AEAAAA"/>
                <w:sz w:val="16"/>
                <w:szCs w:val="16"/>
              </w:rPr>
            </w:pPr>
          </w:p>
        </w:tc>
        <w:tc>
          <w:tcPr>
            <w:tcW w:w="16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14:paraId="69AA6056" w14:textId="77777777" w:rsidR="00DE7C7A" w:rsidRDefault="00DE7C7A">
            <w:pPr>
              <w:spacing w:after="0"/>
              <w:rPr>
                <w:sz w:val="20"/>
                <w:szCs w:val="20"/>
              </w:rPr>
            </w:pPr>
          </w:p>
        </w:tc>
        <w:tc>
          <w:tcPr>
            <w:tcW w:w="170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14:paraId="483EB5F5" w14:textId="77777777" w:rsidR="00DE7C7A" w:rsidRDefault="00DE7C7A">
            <w:pPr>
              <w:spacing w:after="0"/>
              <w:rPr>
                <w:sz w:val="20"/>
                <w:szCs w:val="20"/>
              </w:rPr>
            </w:pPr>
          </w:p>
        </w:tc>
      </w:tr>
      <w:tr w:rsidR="00DE7C7A" w14:paraId="0B7C15A4" w14:textId="77777777">
        <w:tc>
          <w:tcPr>
            <w:tcW w:w="233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14:paraId="67F2B70F" w14:textId="77777777" w:rsidR="00DE7C7A"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BALANCE OF EFFECTS</w:t>
            </w:r>
          </w:p>
        </w:tc>
        <w:tc>
          <w:tcPr>
            <w:tcW w:w="1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65B854" w14:textId="77777777" w:rsidR="00DE7C7A" w:rsidRDefault="00000000">
            <w:pPr>
              <w:pBdr>
                <w:top w:val="nil"/>
                <w:left w:val="nil"/>
                <w:bottom w:val="nil"/>
                <w:right w:val="nil"/>
                <w:between w:val="nil"/>
              </w:pBdr>
              <w:spacing w:after="0" w:line="256" w:lineRule="auto"/>
              <w:jc w:val="center"/>
              <w:rPr>
                <w:color w:val="000000"/>
                <w:sz w:val="16"/>
                <w:szCs w:val="16"/>
              </w:rPr>
            </w:pPr>
            <w:proofErr w:type="spellStart"/>
            <w:r>
              <w:rPr>
                <w:color w:val="000000"/>
                <w:sz w:val="16"/>
                <w:szCs w:val="16"/>
              </w:rPr>
              <w:t>Favors</w:t>
            </w:r>
            <w:proofErr w:type="spellEnd"/>
            <w:r>
              <w:rPr>
                <w:color w:val="000000"/>
                <w:sz w:val="16"/>
                <w:szCs w:val="16"/>
              </w:rPr>
              <w:t xml:space="preserve"> the comparison</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5D4E5A" w14:textId="77777777" w:rsidR="00DE7C7A"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 xml:space="preserve">Probably </w:t>
            </w:r>
            <w:proofErr w:type="spellStart"/>
            <w:r>
              <w:rPr>
                <w:color w:val="000000"/>
                <w:sz w:val="16"/>
                <w:szCs w:val="16"/>
              </w:rPr>
              <w:t>favors</w:t>
            </w:r>
            <w:proofErr w:type="spellEnd"/>
            <w:r>
              <w:rPr>
                <w:color w:val="000000"/>
                <w:sz w:val="16"/>
                <w:szCs w:val="16"/>
              </w:rPr>
              <w:t xml:space="preserve"> the comparison</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939263" w14:textId="77777777" w:rsidR="00DE7C7A"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 xml:space="preserve">Does not </w:t>
            </w:r>
            <w:proofErr w:type="spellStart"/>
            <w:r>
              <w:rPr>
                <w:color w:val="000000"/>
                <w:sz w:val="16"/>
                <w:szCs w:val="16"/>
              </w:rPr>
              <w:t>favor</w:t>
            </w:r>
            <w:proofErr w:type="spellEnd"/>
            <w:r>
              <w:rPr>
                <w:color w:val="000000"/>
                <w:sz w:val="16"/>
                <w:szCs w:val="16"/>
              </w:rPr>
              <w:t xml:space="preserve"> either the intervention or the comparison</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3A294" w14:textId="77777777" w:rsidR="00DE7C7A"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 xml:space="preserve">Probably </w:t>
            </w:r>
            <w:proofErr w:type="spellStart"/>
            <w:r>
              <w:rPr>
                <w:b/>
                <w:color w:val="000000"/>
                <w:sz w:val="20"/>
                <w:szCs w:val="20"/>
              </w:rPr>
              <w:t>favors</w:t>
            </w:r>
            <w:proofErr w:type="spellEnd"/>
            <w:r>
              <w:rPr>
                <w:b/>
                <w:color w:val="000000"/>
                <w:sz w:val="20"/>
                <w:szCs w:val="20"/>
              </w:rPr>
              <w:t xml:space="preserve"> the intervention</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60CD99" w14:textId="77777777" w:rsidR="00DE7C7A" w:rsidRDefault="00000000">
            <w:pPr>
              <w:pBdr>
                <w:top w:val="nil"/>
                <w:left w:val="nil"/>
                <w:bottom w:val="nil"/>
                <w:right w:val="nil"/>
                <w:between w:val="nil"/>
              </w:pBdr>
              <w:spacing w:after="0" w:line="256" w:lineRule="auto"/>
              <w:jc w:val="center"/>
              <w:rPr>
                <w:color w:val="000000"/>
                <w:sz w:val="16"/>
                <w:szCs w:val="16"/>
              </w:rPr>
            </w:pPr>
            <w:proofErr w:type="spellStart"/>
            <w:r>
              <w:rPr>
                <w:color w:val="000000"/>
                <w:sz w:val="16"/>
                <w:szCs w:val="16"/>
              </w:rPr>
              <w:t>Favors</w:t>
            </w:r>
            <w:proofErr w:type="spellEnd"/>
            <w:r>
              <w:rPr>
                <w:color w:val="000000"/>
                <w:sz w:val="16"/>
                <w:szCs w:val="16"/>
              </w:rPr>
              <w:t xml:space="preserve"> the intervention</w:t>
            </w:r>
          </w:p>
        </w:tc>
        <w:tc>
          <w:tcPr>
            <w:tcW w:w="1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BC4B82" w14:textId="77777777" w:rsidR="00DE7C7A"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Varies</w:t>
            </w:r>
          </w:p>
        </w:tc>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A9ADC4" w14:textId="77777777" w:rsidR="00DE7C7A"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Don't know</w:t>
            </w:r>
          </w:p>
        </w:tc>
      </w:tr>
      <w:tr w:rsidR="00DE7C7A" w14:paraId="79462A6F" w14:textId="77777777">
        <w:tc>
          <w:tcPr>
            <w:tcW w:w="233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14:paraId="3256FB76" w14:textId="77777777" w:rsidR="00DE7C7A"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RESOURCES REQUIRED</w:t>
            </w:r>
          </w:p>
        </w:tc>
        <w:tc>
          <w:tcPr>
            <w:tcW w:w="1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F9B143"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costs</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12378B"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costs</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E9D863" w14:textId="77777777" w:rsidR="00DE7C7A" w:rsidRDefault="00000000">
            <w:pPr>
              <w:pBdr>
                <w:top w:val="nil"/>
                <w:left w:val="nil"/>
                <w:bottom w:val="nil"/>
                <w:right w:val="nil"/>
                <w:between w:val="nil"/>
              </w:pBdr>
              <w:spacing w:after="0" w:line="256" w:lineRule="auto"/>
              <w:jc w:val="center"/>
              <w:rPr>
                <w:color w:val="AEAAAA"/>
                <w:sz w:val="16"/>
                <w:szCs w:val="16"/>
              </w:rPr>
            </w:pPr>
            <w:r>
              <w:rPr>
                <w:color w:val="BFBFBF"/>
                <w:sz w:val="16"/>
                <w:szCs w:val="16"/>
              </w:rPr>
              <w:t>Negligible costs and savings</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1F48C6"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savings</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37A2AE"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savings</w:t>
            </w:r>
          </w:p>
        </w:tc>
        <w:tc>
          <w:tcPr>
            <w:tcW w:w="1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68C360"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1C35BB" w14:textId="77777777" w:rsidR="00DE7C7A"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Don't know</w:t>
            </w:r>
          </w:p>
        </w:tc>
      </w:tr>
      <w:tr w:rsidR="00DE7C7A" w14:paraId="7F4672F9" w14:textId="77777777">
        <w:tc>
          <w:tcPr>
            <w:tcW w:w="233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14:paraId="13D6ECEC" w14:textId="77777777" w:rsidR="00DE7C7A"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 OF REQUIRED RESOURCES</w:t>
            </w:r>
          </w:p>
        </w:tc>
        <w:tc>
          <w:tcPr>
            <w:tcW w:w="1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4BD24E"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Very low</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CFD97E"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Low</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D7AAD7"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C1BB85"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2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14:paraId="5943A6BF" w14:textId="77777777" w:rsidR="00DE7C7A" w:rsidRDefault="00DE7C7A">
            <w:pPr>
              <w:rPr>
                <w:color w:val="AEAAAA"/>
                <w:sz w:val="16"/>
                <w:szCs w:val="16"/>
              </w:rPr>
            </w:pPr>
          </w:p>
        </w:tc>
        <w:tc>
          <w:tcPr>
            <w:tcW w:w="16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14:paraId="1360C787" w14:textId="77777777" w:rsidR="00DE7C7A" w:rsidRDefault="00DE7C7A">
            <w:pPr>
              <w:spacing w:after="0"/>
              <w:rPr>
                <w:sz w:val="20"/>
                <w:szCs w:val="20"/>
              </w:rPr>
            </w:pPr>
          </w:p>
        </w:tc>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D34D3B" w14:textId="77777777" w:rsidR="00DE7C7A"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DE7C7A" w14:paraId="64402421" w14:textId="77777777">
        <w:tc>
          <w:tcPr>
            <w:tcW w:w="233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14:paraId="4CB5B08C" w14:textId="77777777" w:rsidR="00DE7C7A"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COST EFFECTIVENESS</w:t>
            </w:r>
          </w:p>
        </w:tc>
        <w:tc>
          <w:tcPr>
            <w:tcW w:w="1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42BF9A" w14:textId="77777777" w:rsidR="00DE7C7A" w:rsidRDefault="00000000">
            <w:pPr>
              <w:pBdr>
                <w:top w:val="nil"/>
                <w:left w:val="nil"/>
                <w:bottom w:val="nil"/>
                <w:right w:val="nil"/>
                <w:between w:val="nil"/>
              </w:pBdr>
              <w:spacing w:after="0" w:line="256" w:lineRule="auto"/>
              <w:jc w:val="center"/>
              <w:rPr>
                <w:color w:val="AEAAAA"/>
                <w:sz w:val="16"/>
                <w:szCs w:val="16"/>
              </w:rPr>
            </w:pPr>
            <w:proofErr w:type="spellStart"/>
            <w:r>
              <w:rPr>
                <w:color w:val="AEAAAA"/>
                <w:sz w:val="16"/>
                <w:szCs w:val="16"/>
              </w:rPr>
              <w:t>Favors</w:t>
            </w:r>
            <w:proofErr w:type="spellEnd"/>
            <w:r>
              <w:rPr>
                <w:color w:val="AEAAAA"/>
                <w:sz w:val="16"/>
                <w:szCs w:val="16"/>
              </w:rPr>
              <w:t xml:space="preserve"> the comparison</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BD617F"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 xml:space="preserve">Probably </w:t>
            </w:r>
            <w:proofErr w:type="spellStart"/>
            <w:r>
              <w:rPr>
                <w:color w:val="AEAAAA"/>
                <w:sz w:val="16"/>
                <w:szCs w:val="16"/>
              </w:rPr>
              <w:t>favors</w:t>
            </w:r>
            <w:proofErr w:type="spellEnd"/>
            <w:r>
              <w:rPr>
                <w:color w:val="AEAAAA"/>
                <w:sz w:val="16"/>
                <w:szCs w:val="16"/>
              </w:rPr>
              <w:t xml:space="preserve"> the comparison</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520401"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 xml:space="preserve">Does not </w:t>
            </w:r>
            <w:proofErr w:type="spellStart"/>
            <w:r>
              <w:rPr>
                <w:color w:val="AEAAAA"/>
                <w:sz w:val="16"/>
                <w:szCs w:val="16"/>
              </w:rPr>
              <w:t>favor</w:t>
            </w:r>
            <w:proofErr w:type="spellEnd"/>
            <w:r>
              <w:rPr>
                <w:color w:val="AEAAAA"/>
                <w:sz w:val="16"/>
                <w:szCs w:val="16"/>
              </w:rPr>
              <w:t xml:space="preserve"> either the intervention or the comparison</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705D0C"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 xml:space="preserve">Probably </w:t>
            </w:r>
            <w:proofErr w:type="spellStart"/>
            <w:r>
              <w:rPr>
                <w:color w:val="AEAAAA"/>
                <w:sz w:val="16"/>
                <w:szCs w:val="16"/>
              </w:rPr>
              <w:t>favors</w:t>
            </w:r>
            <w:proofErr w:type="spellEnd"/>
            <w:r>
              <w:rPr>
                <w:color w:val="AEAAAA"/>
                <w:sz w:val="16"/>
                <w:szCs w:val="16"/>
              </w:rPr>
              <w:t xml:space="preserve"> the intervention</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E8886" w14:textId="77777777" w:rsidR="00DE7C7A" w:rsidRDefault="00000000">
            <w:pPr>
              <w:pBdr>
                <w:top w:val="nil"/>
                <w:left w:val="nil"/>
                <w:bottom w:val="nil"/>
                <w:right w:val="nil"/>
                <w:between w:val="nil"/>
              </w:pBdr>
              <w:spacing w:after="0" w:line="256" w:lineRule="auto"/>
              <w:jc w:val="center"/>
              <w:rPr>
                <w:color w:val="AEAAAA"/>
                <w:sz w:val="16"/>
                <w:szCs w:val="16"/>
              </w:rPr>
            </w:pPr>
            <w:proofErr w:type="spellStart"/>
            <w:r>
              <w:rPr>
                <w:color w:val="AEAAAA"/>
                <w:sz w:val="16"/>
                <w:szCs w:val="16"/>
              </w:rPr>
              <w:t>Favors</w:t>
            </w:r>
            <w:proofErr w:type="spellEnd"/>
            <w:r>
              <w:rPr>
                <w:color w:val="AEAAAA"/>
                <w:sz w:val="16"/>
                <w:szCs w:val="16"/>
              </w:rPr>
              <w:t xml:space="preserve"> the intervention</w:t>
            </w:r>
          </w:p>
        </w:tc>
        <w:tc>
          <w:tcPr>
            <w:tcW w:w="1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B85D7D"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E751F6" w14:textId="77777777" w:rsidR="00DE7C7A"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DE7C7A" w14:paraId="161AAE15" w14:textId="77777777">
        <w:tc>
          <w:tcPr>
            <w:tcW w:w="233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14:paraId="0BB6F70F" w14:textId="77777777" w:rsidR="00DE7C7A"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EQUITY</w:t>
            </w:r>
          </w:p>
        </w:tc>
        <w:tc>
          <w:tcPr>
            <w:tcW w:w="1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30B19A"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Reduced</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1A086F" w14:textId="77777777" w:rsidR="00DE7C7A"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Probably reduced</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C25999" w14:textId="77777777" w:rsidR="00DE7C7A" w:rsidRDefault="00000000">
            <w:pPr>
              <w:pBdr>
                <w:top w:val="nil"/>
                <w:left w:val="nil"/>
                <w:bottom w:val="nil"/>
                <w:right w:val="nil"/>
                <w:between w:val="nil"/>
              </w:pBdr>
              <w:spacing w:after="0" w:line="256" w:lineRule="auto"/>
              <w:jc w:val="center"/>
              <w:rPr>
                <w:color w:val="AEAAAA"/>
                <w:sz w:val="16"/>
                <w:szCs w:val="16"/>
              </w:rPr>
            </w:pPr>
            <w:r>
              <w:rPr>
                <w:color w:val="000000"/>
                <w:sz w:val="16"/>
                <w:szCs w:val="16"/>
              </w:rPr>
              <w:t>Probably no impact</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F4232B"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increased</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F5E145"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Increased</w:t>
            </w:r>
          </w:p>
        </w:tc>
        <w:tc>
          <w:tcPr>
            <w:tcW w:w="1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CFD3D5"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E5BF6" w14:textId="77777777" w:rsidR="00DE7C7A" w:rsidRDefault="00000000">
            <w:pPr>
              <w:pBdr>
                <w:top w:val="nil"/>
                <w:left w:val="nil"/>
                <w:bottom w:val="nil"/>
                <w:right w:val="nil"/>
                <w:between w:val="nil"/>
              </w:pBdr>
              <w:spacing w:after="0" w:line="256" w:lineRule="auto"/>
              <w:jc w:val="center"/>
              <w:rPr>
                <w:b/>
                <w:color w:val="000000"/>
                <w:sz w:val="16"/>
                <w:szCs w:val="16"/>
              </w:rPr>
            </w:pPr>
            <w:r>
              <w:rPr>
                <w:b/>
                <w:color w:val="D9D9D9"/>
                <w:sz w:val="16"/>
                <w:szCs w:val="16"/>
              </w:rPr>
              <w:t>Don't know</w:t>
            </w:r>
          </w:p>
        </w:tc>
      </w:tr>
      <w:tr w:rsidR="00DE7C7A" w14:paraId="413FA2D0" w14:textId="77777777">
        <w:tc>
          <w:tcPr>
            <w:tcW w:w="233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14:paraId="18951A93" w14:textId="77777777" w:rsidR="00DE7C7A"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ACCEPTABILITY</w:t>
            </w:r>
          </w:p>
        </w:tc>
        <w:tc>
          <w:tcPr>
            <w:tcW w:w="1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2933B3"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B119A4"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318A96" w14:textId="77777777" w:rsidR="00DE7C7A"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9E6673"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2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14:paraId="6DCD07F7" w14:textId="77777777" w:rsidR="00DE7C7A" w:rsidRDefault="00DE7C7A">
            <w:pPr>
              <w:rPr>
                <w:color w:val="AEAAAA"/>
                <w:sz w:val="16"/>
                <w:szCs w:val="16"/>
              </w:rPr>
            </w:pPr>
          </w:p>
        </w:tc>
        <w:tc>
          <w:tcPr>
            <w:tcW w:w="1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B785CA"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94885A"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DE7C7A" w14:paraId="27552DAC" w14:textId="77777777">
        <w:tc>
          <w:tcPr>
            <w:tcW w:w="233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14:paraId="4155CF4B" w14:textId="77777777" w:rsidR="00DE7C7A"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FEASIBILITY</w:t>
            </w:r>
          </w:p>
        </w:tc>
        <w:tc>
          <w:tcPr>
            <w:tcW w:w="1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FE3FE6"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E61141"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30B504" w14:textId="77777777" w:rsidR="00DE7C7A"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9D4274"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2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14:paraId="1B0B3A7A" w14:textId="77777777" w:rsidR="00DE7C7A" w:rsidRDefault="00DE7C7A">
            <w:pPr>
              <w:rPr>
                <w:color w:val="AEAAAA"/>
                <w:sz w:val="16"/>
                <w:szCs w:val="16"/>
              </w:rPr>
            </w:pPr>
          </w:p>
        </w:tc>
        <w:tc>
          <w:tcPr>
            <w:tcW w:w="1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CF2819"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420F63" w14:textId="77777777" w:rsidR="00DE7C7A"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bl>
    <w:p w14:paraId="09C5D7C2" w14:textId="77777777" w:rsidR="00DE7C7A"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TYPE OF RECOMMENDATION</w:t>
      </w:r>
    </w:p>
    <w:tbl>
      <w:tblPr>
        <w:tblStyle w:val="a2"/>
        <w:tblW w:w="14384"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400" w:firstRow="0" w:lastRow="0" w:firstColumn="0" w:lastColumn="0" w:noHBand="0" w:noVBand="1"/>
      </w:tblPr>
      <w:tblGrid>
        <w:gridCol w:w="2876"/>
        <w:gridCol w:w="2877"/>
        <w:gridCol w:w="2877"/>
        <w:gridCol w:w="2877"/>
        <w:gridCol w:w="2877"/>
      </w:tblGrid>
      <w:tr w:rsidR="00DE7C7A" w14:paraId="428A8C28" w14:textId="77777777">
        <w:tc>
          <w:tcPr>
            <w:tcW w:w="2876" w:type="dxa"/>
            <w:tcMar>
              <w:top w:w="75" w:type="dxa"/>
              <w:left w:w="0" w:type="dxa"/>
              <w:bottom w:w="0" w:type="dxa"/>
              <w:right w:w="0" w:type="dxa"/>
            </w:tcMar>
          </w:tcPr>
          <w:p w14:paraId="05F2F0C4" w14:textId="77777777" w:rsidR="00DE7C7A"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against the intervention</w:t>
            </w:r>
          </w:p>
        </w:tc>
        <w:tc>
          <w:tcPr>
            <w:tcW w:w="2877" w:type="dxa"/>
            <w:tcBorders>
              <w:top w:val="single" w:sz="6" w:space="0" w:color="000000"/>
              <w:bottom w:val="nil"/>
            </w:tcBorders>
            <w:shd w:val="clear" w:color="auto" w:fill="auto"/>
            <w:tcMar>
              <w:top w:w="75" w:type="dxa"/>
              <w:left w:w="0" w:type="dxa"/>
              <w:bottom w:w="0" w:type="dxa"/>
              <w:right w:w="0" w:type="dxa"/>
            </w:tcMar>
          </w:tcPr>
          <w:p w14:paraId="540B4706" w14:textId="77777777" w:rsidR="00DE7C7A" w:rsidRDefault="00000000">
            <w:pPr>
              <w:pBdr>
                <w:top w:val="nil"/>
                <w:left w:val="nil"/>
                <w:bottom w:val="nil"/>
                <w:right w:val="nil"/>
                <w:between w:val="nil"/>
              </w:pBdr>
              <w:spacing w:after="0" w:line="240" w:lineRule="auto"/>
              <w:jc w:val="center"/>
              <w:rPr>
                <w:color w:val="FFFFFF"/>
                <w:sz w:val="16"/>
                <w:szCs w:val="16"/>
              </w:rPr>
            </w:pPr>
            <w:r>
              <w:rPr>
                <w:color w:val="000000"/>
                <w:sz w:val="16"/>
                <w:szCs w:val="16"/>
              </w:rPr>
              <w:t>Conditional recommendation against the intervention</w:t>
            </w:r>
          </w:p>
        </w:tc>
        <w:tc>
          <w:tcPr>
            <w:tcW w:w="2877" w:type="dxa"/>
            <w:tcMar>
              <w:top w:w="75" w:type="dxa"/>
              <w:left w:w="0" w:type="dxa"/>
              <w:bottom w:w="0" w:type="dxa"/>
              <w:right w:w="0" w:type="dxa"/>
            </w:tcMar>
          </w:tcPr>
          <w:p w14:paraId="4FB09762" w14:textId="77777777" w:rsidR="00DE7C7A"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either the intervention or the comparison</w:t>
            </w:r>
          </w:p>
        </w:tc>
        <w:tc>
          <w:tcPr>
            <w:tcW w:w="2877" w:type="dxa"/>
            <w:tcBorders>
              <w:bottom w:val="nil"/>
            </w:tcBorders>
            <w:shd w:val="clear" w:color="auto" w:fill="auto"/>
            <w:tcMar>
              <w:top w:w="75" w:type="dxa"/>
              <w:left w:w="0" w:type="dxa"/>
              <w:bottom w:w="0" w:type="dxa"/>
              <w:right w:w="0" w:type="dxa"/>
            </w:tcMar>
          </w:tcPr>
          <w:p w14:paraId="44AC5B26" w14:textId="77777777" w:rsidR="00DE7C7A" w:rsidRDefault="00000000">
            <w:pPr>
              <w:pBdr>
                <w:top w:val="nil"/>
                <w:left w:val="nil"/>
                <w:bottom w:val="nil"/>
                <w:right w:val="nil"/>
                <w:between w:val="nil"/>
              </w:pBdr>
              <w:spacing w:after="0" w:line="240" w:lineRule="auto"/>
              <w:jc w:val="center"/>
              <w:rPr>
                <w:b/>
                <w:color w:val="000000"/>
                <w:sz w:val="16"/>
                <w:szCs w:val="16"/>
              </w:rPr>
            </w:pPr>
            <w:r>
              <w:rPr>
                <w:b/>
                <w:color w:val="000000"/>
                <w:sz w:val="16"/>
                <w:szCs w:val="16"/>
              </w:rPr>
              <w:t>Conditional recommendation for the intervention</w:t>
            </w:r>
          </w:p>
        </w:tc>
        <w:tc>
          <w:tcPr>
            <w:tcW w:w="2877" w:type="dxa"/>
            <w:tcMar>
              <w:top w:w="75" w:type="dxa"/>
              <w:left w:w="0" w:type="dxa"/>
              <w:bottom w:w="0" w:type="dxa"/>
              <w:right w:w="0" w:type="dxa"/>
            </w:tcMar>
          </w:tcPr>
          <w:p w14:paraId="2331A4C3" w14:textId="77777777" w:rsidR="00DE7C7A"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for the intervention</w:t>
            </w:r>
          </w:p>
        </w:tc>
      </w:tr>
      <w:tr w:rsidR="00DE7C7A" w14:paraId="6081D86E" w14:textId="77777777">
        <w:trPr>
          <w:trHeight w:val="146"/>
        </w:trPr>
        <w:tc>
          <w:tcPr>
            <w:tcW w:w="2876" w:type="dxa"/>
            <w:tcMar>
              <w:top w:w="0" w:type="dxa"/>
              <w:left w:w="0" w:type="dxa"/>
              <w:bottom w:w="75" w:type="dxa"/>
              <w:right w:w="0" w:type="dxa"/>
            </w:tcMar>
          </w:tcPr>
          <w:p w14:paraId="582FA0AA" w14:textId="77777777" w:rsidR="00DE7C7A"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Borders>
              <w:top w:val="nil"/>
              <w:bottom w:val="single" w:sz="6" w:space="0" w:color="000000"/>
            </w:tcBorders>
            <w:shd w:val="clear" w:color="auto" w:fill="auto"/>
            <w:tcMar>
              <w:top w:w="0" w:type="dxa"/>
              <w:left w:w="0" w:type="dxa"/>
              <w:bottom w:w="75" w:type="dxa"/>
              <w:right w:w="0" w:type="dxa"/>
            </w:tcMar>
          </w:tcPr>
          <w:p w14:paraId="36337432" w14:textId="77777777" w:rsidR="00DE7C7A"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color w:val="000000"/>
                <w:sz w:val="24"/>
                <w:szCs w:val="24"/>
              </w:rPr>
              <w:t>○</w:t>
            </w:r>
          </w:p>
        </w:tc>
        <w:tc>
          <w:tcPr>
            <w:tcW w:w="2877" w:type="dxa"/>
            <w:tcMar>
              <w:top w:w="0" w:type="dxa"/>
              <w:left w:w="0" w:type="dxa"/>
              <w:bottom w:w="75" w:type="dxa"/>
              <w:right w:w="0" w:type="dxa"/>
            </w:tcMar>
          </w:tcPr>
          <w:p w14:paraId="6EFD8537" w14:textId="77777777" w:rsidR="00DE7C7A"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77" w:type="dxa"/>
            <w:tcBorders>
              <w:top w:val="nil"/>
              <w:bottom w:val="single" w:sz="6" w:space="0" w:color="000000"/>
            </w:tcBorders>
            <w:shd w:val="clear" w:color="auto" w:fill="auto"/>
            <w:tcMar>
              <w:top w:w="0" w:type="dxa"/>
              <w:left w:w="0" w:type="dxa"/>
              <w:bottom w:w="75" w:type="dxa"/>
              <w:right w:w="0" w:type="dxa"/>
            </w:tcMar>
          </w:tcPr>
          <w:p w14:paraId="0EEC9422" w14:textId="77777777" w:rsidR="00DE7C7A"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6"/>
                <w:szCs w:val="16"/>
              </w:rPr>
              <w:t>●</w:t>
            </w:r>
            <w:r>
              <w:rPr>
                <w:rFonts w:ascii="Times New Roman" w:eastAsia="Times New Roman" w:hAnsi="Times New Roman" w:cs="Times New Roman"/>
                <w:color w:val="000000"/>
                <w:sz w:val="24"/>
                <w:szCs w:val="24"/>
              </w:rPr>
              <w:t xml:space="preserve"> </w:t>
            </w:r>
          </w:p>
        </w:tc>
        <w:tc>
          <w:tcPr>
            <w:tcW w:w="2877" w:type="dxa"/>
            <w:tcMar>
              <w:top w:w="0" w:type="dxa"/>
              <w:left w:w="0" w:type="dxa"/>
              <w:bottom w:w="75" w:type="dxa"/>
              <w:right w:w="0" w:type="dxa"/>
            </w:tcMar>
          </w:tcPr>
          <w:p w14:paraId="24FB874A" w14:textId="77777777" w:rsidR="00DE7C7A"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14:paraId="7058D6CA" w14:textId="77777777" w:rsidR="00DE7C7A" w:rsidRDefault="00000000">
      <w:pPr>
        <w:rPr>
          <w:b/>
          <w:smallCaps/>
          <w:color w:val="000000"/>
          <w:sz w:val="30"/>
          <w:szCs w:val="30"/>
        </w:rPr>
      </w:pPr>
      <w:r>
        <w:lastRenderedPageBreak/>
        <w:br w:type="page"/>
      </w:r>
    </w:p>
    <w:p w14:paraId="1B34F3A1" w14:textId="77777777" w:rsidR="00DE7C7A"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lastRenderedPageBreak/>
        <w:t>CONCLUSIONS</w:t>
      </w:r>
    </w:p>
    <w:tbl>
      <w:tblPr>
        <w:tblStyle w:val="a3"/>
        <w:tblW w:w="14400" w:type="dxa"/>
        <w:tblLayout w:type="fixed"/>
        <w:tblLook w:val="0400" w:firstRow="0" w:lastRow="0" w:firstColumn="0" w:lastColumn="0" w:noHBand="0" w:noVBand="1"/>
      </w:tblPr>
      <w:tblGrid>
        <w:gridCol w:w="14400"/>
      </w:tblGrid>
      <w:tr w:rsidR="00DE7C7A" w14:paraId="3073C0AE" w14:textId="77777777">
        <w:tc>
          <w:tcPr>
            <w:tcW w:w="14400" w:type="dxa"/>
            <w:shd w:val="clear" w:color="auto" w:fill="2E74B5"/>
            <w:tcMar>
              <w:top w:w="75" w:type="dxa"/>
              <w:left w:w="75" w:type="dxa"/>
              <w:bottom w:w="75" w:type="dxa"/>
              <w:right w:w="75" w:type="dxa"/>
            </w:tcMar>
          </w:tcPr>
          <w:p w14:paraId="59731EDC"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Recommendation</w:t>
            </w:r>
          </w:p>
        </w:tc>
      </w:tr>
      <w:tr w:rsidR="00DE7C7A" w14:paraId="7460E6E1" w14:textId="77777777">
        <w:trPr>
          <w:trHeight w:val="1080"/>
        </w:trPr>
        <w:tc>
          <w:tcPr>
            <w:tcW w:w="14400" w:type="dxa"/>
            <w:tcMar>
              <w:top w:w="75" w:type="dxa"/>
              <w:left w:w="75" w:type="dxa"/>
              <w:bottom w:w="75" w:type="dxa"/>
              <w:right w:w="75" w:type="dxa"/>
            </w:tcMar>
          </w:tcPr>
          <w:p w14:paraId="63B3961F" w14:textId="77777777" w:rsidR="00DE7C7A" w:rsidRDefault="00DE7C7A">
            <w:pPr>
              <w:pBdr>
                <w:top w:val="nil"/>
                <w:left w:val="nil"/>
                <w:bottom w:val="nil"/>
                <w:right w:val="nil"/>
                <w:between w:val="nil"/>
              </w:pBdr>
              <w:spacing w:after="0"/>
              <w:ind w:left="720"/>
              <w:rPr>
                <w:color w:val="000000"/>
              </w:rPr>
            </w:pPr>
          </w:p>
          <w:p w14:paraId="7B9304F7" w14:textId="77777777" w:rsidR="00DE7C7A" w:rsidRDefault="00000000">
            <w:pPr>
              <w:numPr>
                <w:ilvl w:val="0"/>
                <w:numId w:val="2"/>
              </w:numPr>
              <w:spacing w:after="0" w:line="240" w:lineRule="auto"/>
              <w:jc w:val="both"/>
            </w:pPr>
            <w:r>
              <w:t xml:space="preserve">We suggest using normal NSE (&lt;17 </w:t>
            </w:r>
            <w:proofErr w:type="spellStart"/>
            <w:r>
              <w:t>μg</w:t>
            </w:r>
            <w:proofErr w:type="spellEnd"/>
            <w:r>
              <w:t xml:space="preserve">/L) within 72 hours after ROSC, in combination with other tests, for predicting </w:t>
            </w:r>
            <w:proofErr w:type="spellStart"/>
            <w:r>
              <w:t>favorable</w:t>
            </w:r>
            <w:proofErr w:type="spellEnd"/>
            <w:r>
              <w:t xml:space="preserve"> neurological outcome in adults who are comatose after cardiac arrest (weak recommendation, very low-certainty evidence). </w:t>
            </w:r>
          </w:p>
          <w:p w14:paraId="5232728A" w14:textId="77777777" w:rsidR="00DE7C7A" w:rsidRDefault="00DE7C7A">
            <w:pPr>
              <w:rPr>
                <w:b/>
                <w:sz w:val="20"/>
                <w:szCs w:val="20"/>
              </w:rPr>
            </w:pPr>
          </w:p>
        </w:tc>
      </w:tr>
      <w:tr w:rsidR="00DE7C7A" w14:paraId="6DA926B5" w14:textId="77777777">
        <w:tc>
          <w:tcPr>
            <w:tcW w:w="14400" w:type="dxa"/>
            <w:shd w:val="clear" w:color="auto" w:fill="2E74B5"/>
            <w:tcMar>
              <w:top w:w="75" w:type="dxa"/>
              <w:left w:w="75" w:type="dxa"/>
              <w:bottom w:w="75" w:type="dxa"/>
              <w:right w:w="75" w:type="dxa"/>
            </w:tcMar>
          </w:tcPr>
          <w:p w14:paraId="44864245"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Justification</w:t>
            </w:r>
          </w:p>
        </w:tc>
      </w:tr>
      <w:tr w:rsidR="00DE7C7A" w14:paraId="288C8685" w14:textId="77777777">
        <w:trPr>
          <w:trHeight w:val="1080"/>
        </w:trPr>
        <w:tc>
          <w:tcPr>
            <w:tcW w:w="14400" w:type="dxa"/>
            <w:tcMar>
              <w:top w:w="75" w:type="dxa"/>
              <w:left w:w="75" w:type="dxa"/>
              <w:bottom w:w="75" w:type="dxa"/>
              <w:right w:w="75" w:type="dxa"/>
            </w:tcMar>
          </w:tcPr>
          <w:p w14:paraId="0D3EDF33" w14:textId="77777777" w:rsidR="00DE7C7A" w:rsidRDefault="00DE7C7A">
            <w:pPr>
              <w:spacing w:after="0"/>
              <w:rPr>
                <w:sz w:val="20"/>
                <w:szCs w:val="20"/>
              </w:rPr>
            </w:pPr>
          </w:p>
          <w:p w14:paraId="40055B4E" w14:textId="77777777" w:rsidR="00DE7C7A" w:rsidRDefault="00000000">
            <w:pPr>
              <w:spacing w:after="0"/>
            </w:pPr>
            <w:r>
              <w:t xml:space="preserve">Four studies including more than 1000 patients suggest that a normal NSE value at 48 hours has some accuracy to predict good functional outcome.  </w:t>
            </w:r>
          </w:p>
        </w:tc>
      </w:tr>
      <w:tr w:rsidR="00DE7C7A" w14:paraId="60650B6E" w14:textId="77777777">
        <w:trPr>
          <w:trHeight w:val="1080"/>
        </w:trPr>
        <w:tc>
          <w:tcPr>
            <w:tcW w:w="14400" w:type="dxa"/>
            <w:tcMar>
              <w:top w:w="75" w:type="dxa"/>
              <w:left w:w="75" w:type="dxa"/>
              <w:bottom w:w="75" w:type="dxa"/>
              <w:right w:w="75" w:type="dxa"/>
            </w:tcMar>
          </w:tcPr>
          <w:p w14:paraId="32116539" w14:textId="77777777" w:rsidR="00DE7C7A" w:rsidRDefault="00DE7C7A">
            <w:pPr>
              <w:spacing w:after="0"/>
              <w:rPr>
                <w:sz w:val="20"/>
                <w:szCs w:val="20"/>
              </w:rPr>
            </w:pPr>
          </w:p>
        </w:tc>
      </w:tr>
    </w:tbl>
    <w:p w14:paraId="1F745EFE" w14:textId="77777777" w:rsidR="00DE7C7A" w:rsidRDefault="00DE7C7A">
      <w:pPr>
        <w:widowControl w:val="0"/>
        <w:pBdr>
          <w:top w:val="nil"/>
          <w:left w:val="nil"/>
          <w:bottom w:val="nil"/>
          <w:right w:val="nil"/>
          <w:between w:val="nil"/>
        </w:pBdr>
        <w:spacing w:after="0" w:line="276" w:lineRule="auto"/>
        <w:rPr>
          <w:sz w:val="20"/>
          <w:szCs w:val="20"/>
        </w:rPr>
      </w:pPr>
    </w:p>
    <w:tbl>
      <w:tblPr>
        <w:tblStyle w:val="a4"/>
        <w:tblW w:w="14400" w:type="dxa"/>
        <w:tblLayout w:type="fixed"/>
        <w:tblLook w:val="0400" w:firstRow="0" w:lastRow="0" w:firstColumn="0" w:lastColumn="0" w:noHBand="0" w:noVBand="1"/>
      </w:tblPr>
      <w:tblGrid>
        <w:gridCol w:w="14400"/>
      </w:tblGrid>
      <w:tr w:rsidR="00DE7C7A" w14:paraId="4621BBF6" w14:textId="77777777">
        <w:tc>
          <w:tcPr>
            <w:tcW w:w="14400" w:type="dxa"/>
            <w:shd w:val="clear" w:color="auto" w:fill="2E74B5"/>
            <w:tcMar>
              <w:top w:w="75" w:type="dxa"/>
              <w:left w:w="75" w:type="dxa"/>
              <w:bottom w:w="75" w:type="dxa"/>
              <w:right w:w="75" w:type="dxa"/>
            </w:tcMar>
          </w:tcPr>
          <w:p w14:paraId="4E6CFC8E"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Subgroup considerations</w:t>
            </w:r>
          </w:p>
        </w:tc>
      </w:tr>
      <w:tr w:rsidR="00DE7C7A" w14:paraId="109CF546" w14:textId="77777777">
        <w:trPr>
          <w:trHeight w:val="408"/>
        </w:trPr>
        <w:tc>
          <w:tcPr>
            <w:tcW w:w="14400" w:type="dxa"/>
            <w:tcMar>
              <w:top w:w="75" w:type="dxa"/>
              <w:left w:w="75" w:type="dxa"/>
              <w:bottom w:w="75" w:type="dxa"/>
              <w:right w:w="75" w:type="dxa"/>
            </w:tcMar>
          </w:tcPr>
          <w:p w14:paraId="1734A72F" w14:textId="77777777" w:rsidR="00DE7C7A" w:rsidRDefault="00DE7C7A">
            <w:pPr>
              <w:rPr>
                <w:sz w:val="16"/>
                <w:szCs w:val="16"/>
              </w:rPr>
            </w:pPr>
          </w:p>
          <w:p w14:paraId="59FE6F3E" w14:textId="77777777" w:rsidR="00DE7C7A" w:rsidRDefault="00000000">
            <w:pPr>
              <w:rPr>
                <w:sz w:val="20"/>
                <w:szCs w:val="20"/>
              </w:rPr>
            </w:pPr>
            <w:r>
              <w:rPr>
                <w:sz w:val="20"/>
                <w:szCs w:val="20"/>
              </w:rPr>
              <w:t xml:space="preserve">The studies have included mainly patients with OHCA, a cardiac origin and those who have undergone TTM. </w:t>
            </w:r>
          </w:p>
          <w:p w14:paraId="10FE8E12" w14:textId="77777777" w:rsidR="00DE7C7A" w:rsidRDefault="00DE7C7A">
            <w:pPr>
              <w:rPr>
                <w:sz w:val="16"/>
                <w:szCs w:val="16"/>
              </w:rPr>
            </w:pPr>
          </w:p>
        </w:tc>
      </w:tr>
      <w:tr w:rsidR="00DE7C7A" w14:paraId="1D6025DB" w14:textId="77777777">
        <w:tc>
          <w:tcPr>
            <w:tcW w:w="14400" w:type="dxa"/>
            <w:shd w:val="clear" w:color="auto" w:fill="2E74B5"/>
            <w:tcMar>
              <w:top w:w="75" w:type="dxa"/>
              <w:left w:w="75" w:type="dxa"/>
              <w:bottom w:w="75" w:type="dxa"/>
              <w:right w:w="75" w:type="dxa"/>
            </w:tcMar>
          </w:tcPr>
          <w:p w14:paraId="707A42C3"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Implementation considerations</w:t>
            </w:r>
          </w:p>
        </w:tc>
      </w:tr>
    </w:tbl>
    <w:p w14:paraId="0C991582" w14:textId="77777777" w:rsidR="00DE7C7A" w:rsidRDefault="00DE7C7A">
      <w:pPr>
        <w:widowControl w:val="0"/>
        <w:pBdr>
          <w:top w:val="nil"/>
          <w:left w:val="nil"/>
          <w:bottom w:val="nil"/>
          <w:right w:val="nil"/>
          <w:between w:val="nil"/>
        </w:pBdr>
        <w:spacing w:after="0" w:line="276" w:lineRule="auto"/>
        <w:rPr>
          <w:color w:val="FFFFFF"/>
          <w:sz w:val="26"/>
          <w:szCs w:val="26"/>
        </w:rPr>
      </w:pPr>
    </w:p>
    <w:tbl>
      <w:tblPr>
        <w:tblStyle w:val="a5"/>
        <w:tblW w:w="14400" w:type="dxa"/>
        <w:tblLayout w:type="fixed"/>
        <w:tblLook w:val="0400" w:firstRow="0" w:lastRow="0" w:firstColumn="0" w:lastColumn="0" w:noHBand="0" w:noVBand="1"/>
      </w:tblPr>
      <w:tblGrid>
        <w:gridCol w:w="14400"/>
      </w:tblGrid>
      <w:tr w:rsidR="00DE7C7A" w14:paraId="50CF1905" w14:textId="77777777">
        <w:tc>
          <w:tcPr>
            <w:tcW w:w="14400" w:type="dxa"/>
            <w:shd w:val="clear" w:color="auto" w:fill="2E74B5"/>
            <w:tcMar>
              <w:top w:w="75" w:type="dxa"/>
              <w:left w:w="75" w:type="dxa"/>
              <w:bottom w:w="75" w:type="dxa"/>
              <w:right w:w="75" w:type="dxa"/>
            </w:tcMar>
          </w:tcPr>
          <w:p w14:paraId="67DAD29F"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Monitoring and evaluation</w:t>
            </w:r>
          </w:p>
        </w:tc>
      </w:tr>
      <w:tr w:rsidR="00DE7C7A" w14:paraId="31A69697" w14:textId="77777777">
        <w:trPr>
          <w:trHeight w:val="1080"/>
        </w:trPr>
        <w:tc>
          <w:tcPr>
            <w:tcW w:w="14400" w:type="dxa"/>
            <w:tcMar>
              <w:top w:w="75" w:type="dxa"/>
              <w:left w:w="75" w:type="dxa"/>
              <w:bottom w:w="75" w:type="dxa"/>
              <w:right w:w="75" w:type="dxa"/>
            </w:tcMar>
          </w:tcPr>
          <w:p w14:paraId="33FFA6F0" w14:textId="77777777" w:rsidR="00DE7C7A" w:rsidRDefault="00DE7C7A">
            <w:pPr>
              <w:widowControl w:val="0"/>
              <w:pBdr>
                <w:top w:val="nil"/>
                <w:left w:val="nil"/>
                <w:bottom w:val="nil"/>
                <w:right w:val="nil"/>
                <w:between w:val="nil"/>
              </w:pBdr>
              <w:spacing w:after="0" w:line="276" w:lineRule="auto"/>
              <w:rPr>
                <w:color w:val="FFFFFF"/>
                <w:sz w:val="26"/>
                <w:szCs w:val="26"/>
              </w:rPr>
            </w:pPr>
          </w:p>
          <w:tbl>
            <w:tblPr>
              <w:tblStyle w:val="a6"/>
              <w:tblW w:w="14550" w:type="dxa"/>
              <w:tblLayout w:type="fixed"/>
              <w:tblLook w:val="0400" w:firstRow="0" w:lastRow="0" w:firstColumn="0" w:lastColumn="0" w:noHBand="0" w:noVBand="1"/>
            </w:tblPr>
            <w:tblGrid>
              <w:gridCol w:w="14550"/>
            </w:tblGrid>
            <w:tr w:rsidR="00DE7C7A" w14:paraId="268A1C0B" w14:textId="77777777">
              <w:tc>
                <w:tcPr>
                  <w:tcW w:w="14550" w:type="dxa"/>
                  <w:shd w:val="clear" w:color="auto" w:fill="2E74B5"/>
                  <w:tcMar>
                    <w:top w:w="75" w:type="dxa"/>
                    <w:left w:w="75" w:type="dxa"/>
                    <w:bottom w:w="75" w:type="dxa"/>
                    <w:right w:w="75" w:type="dxa"/>
                  </w:tcMar>
                </w:tcPr>
                <w:p w14:paraId="71B42205" w14:textId="77777777" w:rsidR="00DE7C7A"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Research priorities</w:t>
                  </w:r>
                </w:p>
              </w:tc>
            </w:tr>
          </w:tbl>
          <w:p w14:paraId="1B62A026" w14:textId="77777777" w:rsidR="00DE7C7A" w:rsidRDefault="00DE7C7A">
            <w:pPr>
              <w:rPr>
                <w:sz w:val="16"/>
                <w:szCs w:val="16"/>
              </w:rPr>
            </w:pPr>
          </w:p>
        </w:tc>
      </w:tr>
    </w:tbl>
    <w:p w14:paraId="5EEBEEF4" w14:textId="77777777" w:rsidR="00DE7C7A" w:rsidRDefault="00000000">
      <w:pPr>
        <w:numPr>
          <w:ilvl w:val="0"/>
          <w:numId w:val="1"/>
        </w:numPr>
        <w:pBdr>
          <w:top w:val="nil"/>
          <w:left w:val="nil"/>
          <w:bottom w:val="nil"/>
          <w:right w:val="nil"/>
          <w:between w:val="nil"/>
        </w:pBdr>
        <w:spacing w:after="0"/>
        <w:rPr>
          <w:color w:val="000000"/>
        </w:rPr>
      </w:pPr>
      <w:r>
        <w:rPr>
          <w:color w:val="000000"/>
        </w:rPr>
        <w:t>Larger studies including heterogenous samples of cardiac arrest including those with a non-cardiac cause of the arrest and in-hospital cardiac arrest</w:t>
      </w:r>
    </w:p>
    <w:p w14:paraId="1C3AE727" w14:textId="77777777" w:rsidR="00DE7C7A" w:rsidRDefault="00000000">
      <w:pPr>
        <w:numPr>
          <w:ilvl w:val="0"/>
          <w:numId w:val="1"/>
        </w:numPr>
        <w:pBdr>
          <w:top w:val="nil"/>
          <w:left w:val="nil"/>
          <w:bottom w:val="nil"/>
          <w:right w:val="nil"/>
          <w:between w:val="nil"/>
        </w:pBdr>
        <w:rPr>
          <w:color w:val="000000"/>
        </w:rPr>
      </w:pPr>
      <w:r>
        <w:rPr>
          <w:color w:val="000000"/>
        </w:rPr>
        <w:t xml:space="preserve">The use of NSE together with other recommended modalities for predicting good outcome </w:t>
      </w:r>
    </w:p>
    <w:p w14:paraId="1AC274D9" w14:textId="77777777" w:rsidR="00DE7C7A" w:rsidRDefault="00DE7C7A">
      <w:pPr>
        <w:pBdr>
          <w:top w:val="nil"/>
          <w:left w:val="nil"/>
          <w:bottom w:val="nil"/>
          <w:right w:val="nil"/>
          <w:between w:val="nil"/>
        </w:pBdr>
      </w:pPr>
    </w:p>
    <w:p w14:paraId="31096CB8" w14:textId="77777777" w:rsidR="00DE7C7A" w:rsidRDefault="00000000">
      <w:pPr>
        <w:pBdr>
          <w:top w:val="nil"/>
          <w:left w:val="nil"/>
          <w:bottom w:val="nil"/>
          <w:right w:val="nil"/>
          <w:between w:val="nil"/>
        </w:pBdr>
      </w:pPr>
      <w:r>
        <w:t>References:</w:t>
      </w:r>
    </w:p>
    <w:p w14:paraId="519C980C" w14:textId="77777777" w:rsidR="00DE7C7A" w:rsidRDefault="00000000">
      <w:pPr>
        <w:rPr>
          <w:sz w:val="16"/>
          <w:szCs w:val="16"/>
        </w:rPr>
      </w:pPr>
      <w:proofErr w:type="spellStart"/>
      <w:r>
        <w:rPr>
          <w:sz w:val="16"/>
          <w:szCs w:val="16"/>
        </w:rPr>
        <w:t>Moseby-Knappe</w:t>
      </w:r>
      <w:proofErr w:type="spellEnd"/>
      <w:r>
        <w:rPr>
          <w:sz w:val="16"/>
          <w:szCs w:val="16"/>
        </w:rPr>
        <w:t xml:space="preserve"> M, </w:t>
      </w:r>
      <w:proofErr w:type="spellStart"/>
      <w:r>
        <w:rPr>
          <w:sz w:val="16"/>
          <w:szCs w:val="16"/>
        </w:rPr>
        <w:t>Mattsson-Carlgren</w:t>
      </w:r>
      <w:proofErr w:type="spellEnd"/>
      <w:r>
        <w:rPr>
          <w:sz w:val="16"/>
          <w:szCs w:val="16"/>
        </w:rPr>
        <w:t xml:space="preserve"> N, </w:t>
      </w:r>
      <w:proofErr w:type="spellStart"/>
      <w:r>
        <w:rPr>
          <w:sz w:val="16"/>
          <w:szCs w:val="16"/>
        </w:rPr>
        <w:t>Stammet</w:t>
      </w:r>
      <w:proofErr w:type="spellEnd"/>
      <w:r>
        <w:rPr>
          <w:sz w:val="16"/>
          <w:szCs w:val="16"/>
        </w:rPr>
        <w:t xml:space="preserve"> P, Backman S, </w:t>
      </w:r>
      <w:proofErr w:type="spellStart"/>
      <w:r>
        <w:rPr>
          <w:sz w:val="16"/>
          <w:szCs w:val="16"/>
        </w:rPr>
        <w:t>Blennow</w:t>
      </w:r>
      <w:proofErr w:type="spellEnd"/>
      <w:r>
        <w:rPr>
          <w:sz w:val="16"/>
          <w:szCs w:val="16"/>
        </w:rPr>
        <w:t xml:space="preserve"> K, </w:t>
      </w:r>
      <w:proofErr w:type="spellStart"/>
      <w:r>
        <w:rPr>
          <w:sz w:val="16"/>
          <w:szCs w:val="16"/>
        </w:rPr>
        <w:t>Dankiewicz</w:t>
      </w:r>
      <w:proofErr w:type="spellEnd"/>
      <w:r>
        <w:rPr>
          <w:sz w:val="16"/>
          <w:szCs w:val="16"/>
        </w:rPr>
        <w:t xml:space="preserve"> J, Friberg H, </w:t>
      </w:r>
      <w:proofErr w:type="spellStart"/>
      <w:r>
        <w:rPr>
          <w:sz w:val="16"/>
          <w:szCs w:val="16"/>
        </w:rPr>
        <w:t>Hassager</w:t>
      </w:r>
      <w:proofErr w:type="spellEnd"/>
      <w:r>
        <w:rPr>
          <w:sz w:val="16"/>
          <w:szCs w:val="16"/>
        </w:rPr>
        <w:t xml:space="preserve"> C, Horn J, </w:t>
      </w:r>
      <w:proofErr w:type="spellStart"/>
      <w:r>
        <w:rPr>
          <w:sz w:val="16"/>
          <w:szCs w:val="16"/>
        </w:rPr>
        <w:t>Kjaergaard</w:t>
      </w:r>
      <w:proofErr w:type="spellEnd"/>
      <w:r>
        <w:rPr>
          <w:sz w:val="16"/>
          <w:szCs w:val="16"/>
        </w:rPr>
        <w:t xml:space="preserve"> J, </w:t>
      </w:r>
      <w:proofErr w:type="spellStart"/>
      <w:r>
        <w:rPr>
          <w:sz w:val="16"/>
          <w:szCs w:val="16"/>
        </w:rPr>
        <w:t>Lilja</w:t>
      </w:r>
      <w:proofErr w:type="spellEnd"/>
      <w:r>
        <w:rPr>
          <w:sz w:val="16"/>
          <w:szCs w:val="16"/>
        </w:rPr>
        <w:t xml:space="preserve"> G, Rylander C, </w:t>
      </w:r>
      <w:proofErr w:type="spellStart"/>
      <w:r>
        <w:rPr>
          <w:sz w:val="16"/>
          <w:szCs w:val="16"/>
        </w:rPr>
        <w:t>Ullen</w:t>
      </w:r>
      <w:proofErr w:type="spellEnd"/>
      <w:r>
        <w:rPr>
          <w:sz w:val="16"/>
          <w:szCs w:val="16"/>
        </w:rPr>
        <w:t xml:space="preserve"> S, </w:t>
      </w:r>
      <w:proofErr w:type="spellStart"/>
      <w:r>
        <w:rPr>
          <w:sz w:val="16"/>
          <w:szCs w:val="16"/>
        </w:rPr>
        <w:t>Unden</w:t>
      </w:r>
      <w:proofErr w:type="spellEnd"/>
      <w:r>
        <w:rPr>
          <w:sz w:val="16"/>
          <w:szCs w:val="16"/>
        </w:rPr>
        <w:t xml:space="preserve"> J, </w:t>
      </w:r>
      <w:proofErr w:type="spellStart"/>
      <w:r>
        <w:rPr>
          <w:sz w:val="16"/>
          <w:szCs w:val="16"/>
        </w:rPr>
        <w:t>Westhall</w:t>
      </w:r>
      <w:proofErr w:type="spellEnd"/>
      <w:r>
        <w:rPr>
          <w:sz w:val="16"/>
          <w:szCs w:val="16"/>
        </w:rPr>
        <w:t xml:space="preserve"> E, Wise MP, Zetterberg H, Nielsen N, </w:t>
      </w:r>
      <w:proofErr w:type="spellStart"/>
      <w:r>
        <w:rPr>
          <w:sz w:val="16"/>
          <w:szCs w:val="16"/>
        </w:rPr>
        <w:t>Cronberg</w:t>
      </w:r>
      <w:proofErr w:type="spellEnd"/>
      <w:r>
        <w:rPr>
          <w:sz w:val="16"/>
          <w:szCs w:val="16"/>
        </w:rPr>
        <w:t xml:space="preserve"> T (2021) Serum markers of brain injury can predict good neurological outcome after out-of-hospital cardiac arrest. Intensive Care Med 47:984–994</w:t>
      </w:r>
    </w:p>
    <w:p w14:paraId="7F81EFF4" w14:textId="77777777" w:rsidR="00DE7C7A" w:rsidRDefault="00000000">
      <w:pPr>
        <w:rPr>
          <w:sz w:val="16"/>
          <w:szCs w:val="16"/>
        </w:rPr>
      </w:pPr>
      <w:r>
        <w:rPr>
          <w:sz w:val="16"/>
          <w:szCs w:val="16"/>
        </w:rPr>
        <w:t xml:space="preserve">Zellner T, </w:t>
      </w:r>
      <w:proofErr w:type="spellStart"/>
      <w:r>
        <w:rPr>
          <w:sz w:val="16"/>
          <w:szCs w:val="16"/>
        </w:rPr>
        <w:t>Gärtner</w:t>
      </w:r>
      <w:proofErr w:type="spellEnd"/>
      <w:r>
        <w:rPr>
          <w:sz w:val="16"/>
          <w:szCs w:val="16"/>
        </w:rPr>
        <w:t xml:space="preserve"> R, </w:t>
      </w:r>
      <w:proofErr w:type="spellStart"/>
      <w:r>
        <w:rPr>
          <w:sz w:val="16"/>
          <w:szCs w:val="16"/>
        </w:rPr>
        <w:t>Schopohl</w:t>
      </w:r>
      <w:proofErr w:type="spellEnd"/>
      <w:r>
        <w:rPr>
          <w:sz w:val="16"/>
          <w:szCs w:val="16"/>
        </w:rPr>
        <w:t xml:space="preserve"> J, </w:t>
      </w:r>
      <w:proofErr w:type="spellStart"/>
      <w:r>
        <w:rPr>
          <w:sz w:val="16"/>
          <w:szCs w:val="16"/>
        </w:rPr>
        <w:t>Angstwurm</w:t>
      </w:r>
      <w:proofErr w:type="spellEnd"/>
      <w:r>
        <w:rPr>
          <w:sz w:val="16"/>
          <w:szCs w:val="16"/>
        </w:rPr>
        <w:t xml:space="preserve"> M NSE and S-100B are not sufficiently predictive of neurologic outcome after therapeutic hypothermia for cardiac arrest, Resuscitation 84. 1382–1386</w:t>
      </w:r>
    </w:p>
    <w:p w14:paraId="36DF5D8D" w14:textId="77777777" w:rsidR="00DE7C7A" w:rsidRDefault="00000000">
      <w:pPr>
        <w:rPr>
          <w:sz w:val="16"/>
          <w:szCs w:val="16"/>
        </w:rPr>
      </w:pPr>
      <w:proofErr w:type="spellStart"/>
      <w:r>
        <w:rPr>
          <w:sz w:val="16"/>
          <w:szCs w:val="16"/>
        </w:rPr>
        <w:t>Streitberger</w:t>
      </w:r>
      <w:proofErr w:type="spellEnd"/>
      <w:r>
        <w:rPr>
          <w:sz w:val="16"/>
          <w:szCs w:val="16"/>
        </w:rPr>
        <w:t xml:space="preserve"> KJ, </w:t>
      </w:r>
      <w:proofErr w:type="spellStart"/>
      <w:r>
        <w:rPr>
          <w:sz w:val="16"/>
          <w:szCs w:val="16"/>
        </w:rPr>
        <w:t>Leithner</w:t>
      </w:r>
      <w:proofErr w:type="spellEnd"/>
      <w:r>
        <w:rPr>
          <w:sz w:val="16"/>
          <w:szCs w:val="16"/>
        </w:rPr>
        <w:t xml:space="preserve"> C, Wattenberg M, et al.</w:t>
      </w:r>
      <w:r>
        <w:t xml:space="preserve"> </w:t>
      </w:r>
      <w:r>
        <w:rPr>
          <w:sz w:val="16"/>
          <w:szCs w:val="16"/>
        </w:rPr>
        <w:t xml:space="preserve">Neuron-Specific Enolase Predicts Poor Outcome After Cardiac Arrest and Targeted Temperature Management: A </w:t>
      </w:r>
      <w:proofErr w:type="spellStart"/>
      <w:r>
        <w:rPr>
          <w:sz w:val="16"/>
          <w:szCs w:val="16"/>
        </w:rPr>
        <w:t>Multicenter</w:t>
      </w:r>
      <w:proofErr w:type="spellEnd"/>
      <w:r>
        <w:rPr>
          <w:sz w:val="16"/>
          <w:szCs w:val="16"/>
        </w:rPr>
        <w:t xml:space="preserve"> Study on 1,053 Patients</w:t>
      </w:r>
    </w:p>
    <w:p w14:paraId="3214B214" w14:textId="77777777" w:rsidR="00DE7C7A" w:rsidRDefault="00000000">
      <w:pPr>
        <w:rPr>
          <w:sz w:val="16"/>
          <w:szCs w:val="16"/>
        </w:rPr>
      </w:pPr>
      <w:proofErr w:type="spellStart"/>
      <w:r>
        <w:rPr>
          <w:sz w:val="16"/>
          <w:szCs w:val="16"/>
        </w:rPr>
        <w:t>Wihersaari</w:t>
      </w:r>
      <w:proofErr w:type="spellEnd"/>
      <w:r>
        <w:rPr>
          <w:sz w:val="16"/>
          <w:szCs w:val="16"/>
        </w:rPr>
        <w:t xml:space="preserve"> L, </w:t>
      </w:r>
      <w:proofErr w:type="spellStart"/>
      <w:r>
        <w:rPr>
          <w:sz w:val="16"/>
          <w:szCs w:val="16"/>
        </w:rPr>
        <w:t>Reinikainen</w:t>
      </w:r>
      <w:proofErr w:type="spellEnd"/>
      <w:r>
        <w:rPr>
          <w:sz w:val="16"/>
          <w:szCs w:val="16"/>
        </w:rPr>
        <w:t xml:space="preserve"> M, </w:t>
      </w:r>
      <w:proofErr w:type="spellStart"/>
      <w:r>
        <w:rPr>
          <w:sz w:val="16"/>
          <w:szCs w:val="16"/>
        </w:rPr>
        <w:t>Furlan</w:t>
      </w:r>
      <w:proofErr w:type="spellEnd"/>
      <w:r>
        <w:rPr>
          <w:sz w:val="16"/>
          <w:szCs w:val="16"/>
        </w:rPr>
        <w:t xml:space="preserve"> R, </w:t>
      </w:r>
      <w:proofErr w:type="spellStart"/>
      <w:r>
        <w:rPr>
          <w:sz w:val="16"/>
          <w:szCs w:val="16"/>
        </w:rPr>
        <w:t>Mandelli</w:t>
      </w:r>
      <w:proofErr w:type="spellEnd"/>
      <w:r>
        <w:rPr>
          <w:sz w:val="16"/>
          <w:szCs w:val="16"/>
        </w:rPr>
        <w:t xml:space="preserve"> A, </w:t>
      </w:r>
      <w:proofErr w:type="spellStart"/>
      <w:r>
        <w:rPr>
          <w:sz w:val="16"/>
          <w:szCs w:val="16"/>
        </w:rPr>
        <w:t>Vaahersalo</w:t>
      </w:r>
      <w:proofErr w:type="spellEnd"/>
      <w:r>
        <w:rPr>
          <w:sz w:val="16"/>
          <w:szCs w:val="16"/>
        </w:rPr>
        <w:t xml:space="preserve"> J, </w:t>
      </w:r>
      <w:proofErr w:type="spellStart"/>
      <w:r>
        <w:rPr>
          <w:sz w:val="16"/>
          <w:szCs w:val="16"/>
        </w:rPr>
        <w:t>Kurola</w:t>
      </w:r>
      <w:proofErr w:type="spellEnd"/>
      <w:r>
        <w:rPr>
          <w:sz w:val="16"/>
          <w:szCs w:val="16"/>
        </w:rPr>
        <w:t xml:space="preserve"> J, Tiainen M, </w:t>
      </w:r>
      <w:proofErr w:type="spellStart"/>
      <w:r>
        <w:rPr>
          <w:sz w:val="16"/>
          <w:szCs w:val="16"/>
        </w:rPr>
        <w:t>Pettilä</w:t>
      </w:r>
      <w:proofErr w:type="spellEnd"/>
      <w:r>
        <w:rPr>
          <w:sz w:val="16"/>
          <w:szCs w:val="16"/>
        </w:rPr>
        <w:t xml:space="preserve"> V, Bendel S, </w:t>
      </w:r>
      <w:proofErr w:type="spellStart"/>
      <w:r>
        <w:rPr>
          <w:sz w:val="16"/>
          <w:szCs w:val="16"/>
        </w:rPr>
        <w:t>Varpula</w:t>
      </w:r>
      <w:proofErr w:type="spellEnd"/>
      <w:r>
        <w:rPr>
          <w:sz w:val="16"/>
          <w:szCs w:val="16"/>
        </w:rPr>
        <w:t xml:space="preserve"> T, </w:t>
      </w:r>
      <w:proofErr w:type="spellStart"/>
      <w:r>
        <w:rPr>
          <w:sz w:val="16"/>
          <w:szCs w:val="16"/>
        </w:rPr>
        <w:t>Latini</w:t>
      </w:r>
      <w:proofErr w:type="spellEnd"/>
      <w:r>
        <w:rPr>
          <w:sz w:val="16"/>
          <w:szCs w:val="16"/>
        </w:rPr>
        <w:t xml:space="preserve"> R, </w:t>
      </w:r>
      <w:proofErr w:type="spellStart"/>
      <w:r>
        <w:rPr>
          <w:sz w:val="16"/>
          <w:szCs w:val="16"/>
        </w:rPr>
        <w:t>Ristagno</w:t>
      </w:r>
      <w:proofErr w:type="spellEnd"/>
      <w:r>
        <w:rPr>
          <w:sz w:val="16"/>
          <w:szCs w:val="16"/>
        </w:rPr>
        <w:t xml:space="preserve"> G, Skrifvars </w:t>
      </w:r>
      <w:proofErr w:type="spellStart"/>
      <w:proofErr w:type="gramStart"/>
      <w:r>
        <w:rPr>
          <w:sz w:val="16"/>
          <w:szCs w:val="16"/>
        </w:rPr>
        <w:t>MB.Neurofilament</w:t>
      </w:r>
      <w:proofErr w:type="spellEnd"/>
      <w:proofErr w:type="gramEnd"/>
      <w:r>
        <w:rPr>
          <w:sz w:val="16"/>
          <w:szCs w:val="16"/>
        </w:rPr>
        <w:t xml:space="preserve"> light compared to neuron-specific enolase as a predictor of unfavourable outcome after out-of-hospital cardiac arrest. Resuscitation. 2022 </w:t>
      </w:r>
      <w:proofErr w:type="gramStart"/>
      <w:r>
        <w:rPr>
          <w:sz w:val="16"/>
          <w:szCs w:val="16"/>
        </w:rPr>
        <w:t>May;174:1</w:t>
      </w:r>
      <w:proofErr w:type="gramEnd"/>
      <w:r>
        <w:rPr>
          <w:sz w:val="16"/>
          <w:szCs w:val="16"/>
        </w:rPr>
        <w:t>-8</w:t>
      </w:r>
    </w:p>
    <w:p w14:paraId="5F008A85" w14:textId="77777777" w:rsidR="00DE7C7A" w:rsidRDefault="00DE7C7A">
      <w:pPr>
        <w:pBdr>
          <w:top w:val="nil"/>
          <w:left w:val="nil"/>
          <w:bottom w:val="nil"/>
          <w:right w:val="nil"/>
          <w:between w:val="nil"/>
        </w:pBdr>
      </w:pPr>
    </w:p>
    <w:sectPr w:rsidR="00DE7C7A">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te">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62012"/>
    <w:multiLevelType w:val="multilevel"/>
    <w:tmpl w:val="F3940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B85E1E"/>
    <w:multiLevelType w:val="multilevel"/>
    <w:tmpl w:val="F92CBB8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1980802">
    <w:abstractNumId w:val="1"/>
  </w:num>
  <w:num w:numId="2" w16cid:durableId="1648322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7A"/>
    <w:rsid w:val="000105E4"/>
    <w:rsid w:val="00D76EC6"/>
    <w:rsid w:val="00DE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665F40"/>
  <w15:docId w15:val="{1F99AB91-CE4E-CE4C-BCB2-1EA8C83B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Revision">
    <w:name w:val="Revision"/>
    <w:hidden/>
    <w:uiPriority w:val="99"/>
    <w:semiHidden/>
    <w:rsid w:val="00A04921"/>
    <w:pPr>
      <w:spacing w:after="0" w:line="240" w:lineRule="auto"/>
    </w:pPr>
  </w:style>
  <w:style w:type="paragraph" w:styleId="ListParagraph">
    <w:name w:val="List Paragraph"/>
    <w:basedOn w:val="Normal"/>
    <w:uiPriority w:val="34"/>
    <w:qFormat/>
    <w:rsid w:val="004D770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UBhFCQa3ipZonv7R45Sg+Ui9Pg==">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2093</Words>
  <Characters>11933</Characters>
  <Application>Microsoft Office Word</Application>
  <DocSecurity>0</DocSecurity>
  <Lines>99</Lines>
  <Paragraphs>27</Paragraphs>
  <ScaleCrop>false</ScaleCrop>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William Montgomery</cp:lastModifiedBy>
  <cp:revision>2</cp:revision>
  <dcterms:created xsi:type="dcterms:W3CDTF">2022-12-20T04:22:00Z</dcterms:created>
  <dcterms:modified xsi:type="dcterms:W3CDTF">2022-12-20T04:22:00Z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0x0101001C9B6666F2925142AD9BEEF8914D8620</vt:lpwstr>
  </property>
  <property fmtid="{D5CDD505-2E9C-101B-9397-08002B2CF9AE}" pid="3" name="GrammarlyDocumentId">
    <vt:lpwstr>43d5b168cce597485caec0b11e092649f68872bebe042e9b367599027e9781b9</vt:lpwstr>
  </property>
</Properties>
</file>