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r w:rsidRPr="00A73190">
              <w:rPr>
                <w:rFonts w:ascii="Calibri" w:eastAsia="Times New Roman" w:hAnsi="Calibri" w:cs="Calibri"/>
                <w:caps/>
                <w:sz w:val="30"/>
                <w:szCs w:val="30"/>
              </w:rPr>
              <w:t>Question</w:t>
            </w:r>
          </w:p>
        </w:tc>
      </w:tr>
      <w:tr w:rsidR="00270546" w:rsidRPr="00A73190"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62248AA0" w:rsidR="00270546" w:rsidRPr="00A73190" w:rsidRDefault="00270546" w:rsidP="00892C73">
            <w:pPr>
              <w:pStyle w:val="NormalWeb"/>
              <w:spacing w:before="0" w:beforeAutospacing="0" w:after="0" w:afterAutospacing="0"/>
              <w:rPr>
                <w:rFonts w:ascii="Calibri" w:hAnsi="Calibri" w:cs="Calibri"/>
                <w:b/>
                <w:bCs/>
                <w:color w:val="FFFFFF"/>
                <w:sz w:val="28"/>
                <w:szCs w:val="28"/>
              </w:rPr>
            </w:pPr>
            <w:proofErr w:type="spellStart"/>
            <w:r>
              <w:rPr>
                <w:rFonts w:ascii="Calibri" w:hAnsi="Calibri" w:cs="Calibri"/>
                <w:b/>
                <w:bCs/>
                <w:color w:val="FFFFFF"/>
                <w:sz w:val="28"/>
                <w:szCs w:val="28"/>
              </w:rPr>
              <w:t>Oxygenation</w:t>
            </w:r>
            <w:proofErr w:type="spellEnd"/>
            <w:r>
              <w:rPr>
                <w:rFonts w:ascii="Calibri" w:hAnsi="Calibri" w:cs="Calibri"/>
                <w:b/>
                <w:bCs/>
                <w:color w:val="FFFFFF"/>
                <w:sz w:val="28"/>
                <w:szCs w:val="28"/>
              </w:rPr>
              <w:t xml:space="preserve"> </w:t>
            </w:r>
            <w:proofErr w:type="spellStart"/>
            <w:r>
              <w:rPr>
                <w:rFonts w:ascii="Calibri" w:hAnsi="Calibri" w:cs="Calibri"/>
                <w:b/>
                <w:bCs/>
                <w:color w:val="FFFFFF"/>
                <w:sz w:val="28"/>
                <w:szCs w:val="28"/>
              </w:rPr>
              <w:t>strategy</w:t>
            </w:r>
            <w:proofErr w:type="spellEnd"/>
            <w:r>
              <w:rPr>
                <w:rFonts w:ascii="Calibri" w:hAnsi="Calibri" w:cs="Calibri"/>
                <w:b/>
                <w:bCs/>
                <w:color w:val="FFFFFF"/>
                <w:sz w:val="28"/>
                <w:szCs w:val="28"/>
              </w:rPr>
              <w:t xml:space="preserve"> </w:t>
            </w:r>
            <w:proofErr w:type="spellStart"/>
            <w:r>
              <w:rPr>
                <w:rFonts w:ascii="Calibri" w:hAnsi="Calibri" w:cs="Calibri"/>
                <w:b/>
                <w:bCs/>
                <w:color w:val="FFFFFF"/>
                <w:sz w:val="28"/>
                <w:szCs w:val="28"/>
              </w:rPr>
              <w:t>after</w:t>
            </w:r>
            <w:proofErr w:type="spellEnd"/>
            <w:r>
              <w:rPr>
                <w:rFonts w:ascii="Calibri" w:hAnsi="Calibri" w:cs="Calibri"/>
                <w:b/>
                <w:bCs/>
                <w:color w:val="FFFFFF"/>
                <w:sz w:val="28"/>
                <w:szCs w:val="28"/>
              </w:rPr>
              <w:t xml:space="preserve"> </w:t>
            </w:r>
            <w:proofErr w:type="spellStart"/>
            <w:r>
              <w:rPr>
                <w:rFonts w:ascii="Calibri" w:hAnsi="Calibri" w:cs="Calibri"/>
                <w:b/>
                <w:bCs/>
                <w:color w:val="FFFFFF"/>
                <w:sz w:val="28"/>
                <w:szCs w:val="28"/>
              </w:rPr>
              <w:t>return</w:t>
            </w:r>
            <w:proofErr w:type="spellEnd"/>
            <w:r>
              <w:rPr>
                <w:rFonts w:ascii="Calibri" w:hAnsi="Calibri" w:cs="Calibri"/>
                <w:b/>
                <w:bCs/>
                <w:color w:val="FFFFFF"/>
                <w:sz w:val="28"/>
                <w:szCs w:val="28"/>
              </w:rPr>
              <w:t xml:space="preserve"> of </w:t>
            </w:r>
            <w:proofErr w:type="spellStart"/>
            <w:r>
              <w:rPr>
                <w:rFonts w:ascii="Calibri" w:hAnsi="Calibri" w:cs="Calibri"/>
                <w:b/>
                <w:bCs/>
                <w:color w:val="FFFFFF"/>
                <w:sz w:val="28"/>
                <w:szCs w:val="28"/>
              </w:rPr>
              <w:t>spontaneous</w:t>
            </w:r>
            <w:proofErr w:type="spellEnd"/>
            <w:r>
              <w:rPr>
                <w:rFonts w:ascii="Calibri" w:hAnsi="Calibri" w:cs="Calibri"/>
                <w:b/>
                <w:bCs/>
                <w:color w:val="FFFFFF"/>
                <w:sz w:val="28"/>
                <w:szCs w:val="28"/>
              </w:rPr>
              <w:t xml:space="preserve"> </w:t>
            </w:r>
            <w:proofErr w:type="spellStart"/>
            <w:r>
              <w:rPr>
                <w:rFonts w:ascii="Calibri" w:hAnsi="Calibri" w:cs="Calibri"/>
                <w:b/>
                <w:bCs/>
                <w:color w:val="FFFFFF"/>
                <w:sz w:val="28"/>
                <w:szCs w:val="28"/>
              </w:rPr>
              <w:t>circulation</w:t>
            </w:r>
            <w:proofErr w:type="spellEnd"/>
            <w:r>
              <w:rPr>
                <w:rFonts w:ascii="Calibri" w:hAnsi="Calibri" w:cs="Calibri"/>
                <w:b/>
                <w:bCs/>
                <w:color w:val="FFFFFF"/>
                <w:sz w:val="28"/>
                <w:szCs w:val="28"/>
              </w:rPr>
              <w:t xml:space="preserve"> (ROSC) in </w:t>
            </w:r>
            <w:proofErr w:type="spellStart"/>
            <w:r>
              <w:rPr>
                <w:rFonts w:ascii="Calibri" w:hAnsi="Calibri" w:cs="Calibri"/>
                <w:b/>
                <w:bCs/>
                <w:color w:val="FFFFFF"/>
                <w:sz w:val="28"/>
                <w:szCs w:val="28"/>
              </w:rPr>
              <w:t>children</w:t>
            </w:r>
            <w:proofErr w:type="spellEnd"/>
            <w:r>
              <w:rPr>
                <w:rFonts w:ascii="Calibri" w:hAnsi="Calibri" w:cs="Calibri"/>
                <w:b/>
                <w:bCs/>
                <w:color w:val="FFFFFF"/>
                <w:sz w:val="28"/>
                <w:szCs w:val="28"/>
              </w:rPr>
              <w:t xml:space="preserve"> with </w:t>
            </w:r>
            <w:proofErr w:type="spellStart"/>
            <w:r>
              <w:rPr>
                <w:rFonts w:ascii="Calibri" w:hAnsi="Calibri" w:cs="Calibri"/>
                <w:b/>
                <w:bCs/>
                <w:color w:val="FFFFFF"/>
                <w:sz w:val="28"/>
                <w:szCs w:val="28"/>
              </w:rPr>
              <w:t>cardiac</w:t>
            </w:r>
            <w:proofErr w:type="spellEnd"/>
            <w:r>
              <w:rPr>
                <w:rFonts w:ascii="Calibri" w:hAnsi="Calibri" w:cs="Calibri"/>
                <w:b/>
                <w:bCs/>
                <w:color w:val="FFFFFF"/>
                <w:sz w:val="28"/>
                <w:szCs w:val="28"/>
              </w:rPr>
              <w:t xml:space="preserve"> arrest</w:t>
            </w:r>
          </w:p>
        </w:tc>
      </w:tr>
      <w:tr w:rsidR="00270546" w:rsidRPr="00A73190"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46986084" w:rsidR="00270546" w:rsidRPr="00A73190" w:rsidRDefault="00613621" w:rsidP="00892C73">
            <w:pPr>
              <w:pStyle w:val="NormalWeb"/>
              <w:spacing w:before="0" w:beforeAutospacing="0" w:after="0" w:afterAutospacing="0" w:line="200" w:lineRule="atLeast"/>
              <w:rPr>
                <w:rFonts w:ascii="Calibri" w:hAnsi="Calibri" w:cs="Calibri"/>
                <w:sz w:val="20"/>
                <w:szCs w:val="20"/>
              </w:rPr>
            </w:pPr>
            <w:proofErr w:type="spellStart"/>
            <w:r>
              <w:rPr>
                <w:rFonts w:ascii="Calibri" w:hAnsi="Calibri" w:cs="Calibri"/>
                <w:sz w:val="20"/>
                <w:szCs w:val="20"/>
              </w:rPr>
              <w:t>C</w:t>
            </w:r>
            <w:r w:rsidR="00270546">
              <w:rPr>
                <w:rFonts w:ascii="Calibri" w:hAnsi="Calibri" w:cs="Calibri"/>
                <w:sz w:val="20"/>
                <w:szCs w:val="20"/>
              </w:rPr>
              <w:t>hildren</w:t>
            </w:r>
            <w:proofErr w:type="spellEnd"/>
            <w:r w:rsidR="00270546" w:rsidRPr="00A73190">
              <w:rPr>
                <w:rFonts w:ascii="Calibri" w:hAnsi="Calibri" w:cs="Calibri"/>
                <w:sz w:val="20"/>
                <w:szCs w:val="20"/>
              </w:rPr>
              <w:t xml:space="preserve"> with </w:t>
            </w:r>
            <w:proofErr w:type="spellStart"/>
            <w:r w:rsidR="00270546" w:rsidRPr="00A73190">
              <w:rPr>
                <w:rFonts w:ascii="Calibri" w:hAnsi="Calibri" w:cs="Calibri"/>
                <w:sz w:val="20"/>
                <w:szCs w:val="20"/>
              </w:rPr>
              <w:t>cardiac</w:t>
            </w:r>
            <w:proofErr w:type="spellEnd"/>
            <w:r w:rsidR="00270546" w:rsidRPr="00A73190">
              <w:rPr>
                <w:rFonts w:ascii="Calibri" w:hAnsi="Calibri" w:cs="Calibri"/>
                <w:sz w:val="20"/>
                <w:szCs w:val="20"/>
              </w:rPr>
              <w:t xml:space="preserve"> arrest </w:t>
            </w:r>
            <w:r>
              <w:rPr>
                <w:rFonts w:ascii="Calibri" w:hAnsi="Calibri" w:cs="Calibri"/>
                <w:sz w:val="20"/>
                <w:szCs w:val="20"/>
              </w:rPr>
              <w:t xml:space="preserve">in </w:t>
            </w:r>
            <w:proofErr w:type="spellStart"/>
            <w:r>
              <w:rPr>
                <w:rFonts w:ascii="Calibri" w:hAnsi="Calibri" w:cs="Calibri"/>
                <w:sz w:val="20"/>
                <w:szCs w:val="20"/>
              </w:rPr>
              <w:t>any</w:t>
            </w:r>
            <w:proofErr w:type="spellEnd"/>
            <w:r>
              <w:rPr>
                <w:rFonts w:ascii="Calibri" w:hAnsi="Calibri" w:cs="Calibri"/>
                <w:sz w:val="20"/>
                <w:szCs w:val="20"/>
              </w:rPr>
              <w:t xml:space="preserve"> </w:t>
            </w:r>
            <w:proofErr w:type="spellStart"/>
            <w:r>
              <w:rPr>
                <w:rFonts w:ascii="Calibri" w:hAnsi="Calibri" w:cs="Calibri"/>
                <w:sz w:val="20"/>
                <w:szCs w:val="20"/>
              </w:rPr>
              <w:t>setting</w:t>
            </w:r>
            <w:proofErr w:type="spellEnd"/>
            <w:r w:rsidR="00270546">
              <w:rPr>
                <w:rFonts w:ascii="Calibri" w:hAnsi="Calibri" w:cs="Calibri"/>
                <w:sz w:val="20"/>
                <w:szCs w:val="20"/>
              </w:rPr>
              <w:t xml:space="preserve"> </w:t>
            </w:r>
            <w:proofErr w:type="spellStart"/>
            <w:r w:rsidR="00270546">
              <w:rPr>
                <w:rFonts w:ascii="Calibri" w:hAnsi="Calibri" w:cs="Calibri"/>
                <w:sz w:val="20"/>
                <w:szCs w:val="20"/>
              </w:rPr>
              <w:t>who</w:t>
            </w:r>
            <w:proofErr w:type="spellEnd"/>
            <w:r w:rsidR="00270546">
              <w:rPr>
                <w:rFonts w:ascii="Calibri" w:hAnsi="Calibri" w:cs="Calibri"/>
                <w:sz w:val="20"/>
                <w:szCs w:val="20"/>
              </w:rPr>
              <w:t xml:space="preserve"> have </w:t>
            </w:r>
            <w:proofErr w:type="spellStart"/>
            <w:r w:rsidR="00270546">
              <w:rPr>
                <w:rFonts w:ascii="Calibri" w:hAnsi="Calibri" w:cs="Calibri"/>
                <w:sz w:val="20"/>
                <w:szCs w:val="20"/>
              </w:rPr>
              <w:t>attained</w:t>
            </w:r>
            <w:proofErr w:type="spellEnd"/>
            <w:r w:rsidR="00270546">
              <w:rPr>
                <w:rFonts w:ascii="Calibri" w:hAnsi="Calibri" w:cs="Calibri"/>
                <w:sz w:val="20"/>
                <w:szCs w:val="20"/>
              </w:rPr>
              <w:t xml:space="preserve"> ROSC</w:t>
            </w:r>
          </w:p>
        </w:tc>
      </w:tr>
      <w:tr w:rsidR="00270546" w:rsidRPr="00A73190"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77777777" w:rsidR="00270546" w:rsidRPr="00A73190" w:rsidRDefault="00270546" w:rsidP="00892C73">
            <w:pPr>
              <w:pStyle w:val="NormalWeb"/>
              <w:spacing w:before="0" w:beforeAutospacing="0" w:after="0" w:afterAutospacing="0" w:line="200" w:lineRule="atLeast"/>
              <w:rPr>
                <w:rFonts w:ascii="Calibri" w:hAnsi="Calibri" w:cs="Calibri"/>
                <w:sz w:val="20"/>
                <w:szCs w:val="20"/>
              </w:rPr>
            </w:pPr>
            <w:r>
              <w:rPr>
                <w:rFonts w:ascii="Calibri" w:hAnsi="Calibri" w:cs="Calibri"/>
                <w:sz w:val="20"/>
                <w:szCs w:val="20"/>
              </w:rPr>
              <w:t xml:space="preserve">A </w:t>
            </w:r>
            <w:proofErr w:type="spellStart"/>
            <w:r>
              <w:rPr>
                <w:rFonts w:ascii="Calibri" w:hAnsi="Calibri" w:cs="Calibri"/>
                <w:sz w:val="20"/>
                <w:szCs w:val="20"/>
              </w:rPr>
              <w:t>specific</w:t>
            </w:r>
            <w:proofErr w:type="spellEnd"/>
            <w:r>
              <w:rPr>
                <w:rFonts w:ascii="Calibri" w:hAnsi="Calibri" w:cs="Calibri"/>
                <w:sz w:val="20"/>
                <w:szCs w:val="20"/>
              </w:rPr>
              <w:t xml:space="preserve"> </w:t>
            </w:r>
            <w:proofErr w:type="spellStart"/>
            <w:r>
              <w:rPr>
                <w:rFonts w:ascii="Calibri" w:hAnsi="Calibri" w:cs="Calibri"/>
                <w:sz w:val="20"/>
                <w:szCs w:val="20"/>
              </w:rPr>
              <w:t>oxygenation</w:t>
            </w:r>
            <w:proofErr w:type="spellEnd"/>
            <w:r>
              <w:rPr>
                <w:rFonts w:ascii="Calibri" w:hAnsi="Calibri" w:cs="Calibri"/>
                <w:sz w:val="20"/>
                <w:szCs w:val="20"/>
              </w:rPr>
              <w:t xml:space="preserve"> </w:t>
            </w:r>
            <w:proofErr w:type="spellStart"/>
            <w:r>
              <w:rPr>
                <w:rFonts w:ascii="Calibri" w:hAnsi="Calibri" w:cs="Calibri"/>
                <w:sz w:val="20"/>
                <w:szCs w:val="20"/>
              </w:rPr>
              <w:t>strategy</w:t>
            </w:r>
            <w:proofErr w:type="spellEnd"/>
          </w:p>
        </w:tc>
      </w:tr>
      <w:tr w:rsidR="00270546" w:rsidRPr="00A73190"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77777777" w:rsidR="00270546" w:rsidRPr="00A73190" w:rsidRDefault="00270546" w:rsidP="00892C73">
            <w:pPr>
              <w:pStyle w:val="NormalWeb"/>
              <w:spacing w:before="0" w:beforeAutospacing="0" w:after="0" w:afterAutospacing="0" w:line="200" w:lineRule="atLeast"/>
              <w:rPr>
                <w:rFonts w:ascii="Calibri" w:hAnsi="Calibri" w:cs="Calibri"/>
                <w:sz w:val="20"/>
                <w:szCs w:val="20"/>
              </w:rPr>
            </w:pPr>
            <w:r>
              <w:rPr>
                <w:rFonts w:ascii="Calibri" w:hAnsi="Calibri" w:cs="Calibri"/>
                <w:sz w:val="20"/>
                <w:szCs w:val="20"/>
              </w:rPr>
              <w:t xml:space="preserve">An alternative </w:t>
            </w:r>
            <w:proofErr w:type="spellStart"/>
            <w:r>
              <w:rPr>
                <w:rFonts w:ascii="Calibri" w:hAnsi="Calibri" w:cs="Calibri"/>
                <w:sz w:val="20"/>
                <w:szCs w:val="20"/>
              </w:rPr>
              <w:t>oxygenation</w:t>
            </w:r>
            <w:proofErr w:type="spellEnd"/>
            <w:r>
              <w:rPr>
                <w:rFonts w:ascii="Calibri" w:hAnsi="Calibri" w:cs="Calibri"/>
                <w:sz w:val="20"/>
                <w:szCs w:val="20"/>
              </w:rPr>
              <w:t xml:space="preserve"> </w:t>
            </w:r>
            <w:proofErr w:type="spellStart"/>
            <w:r>
              <w:rPr>
                <w:rFonts w:ascii="Calibri" w:hAnsi="Calibri" w:cs="Calibri"/>
                <w:sz w:val="20"/>
                <w:szCs w:val="20"/>
              </w:rPr>
              <w:t>strategy</w:t>
            </w:r>
            <w:proofErr w:type="spellEnd"/>
            <w:r>
              <w:rPr>
                <w:rFonts w:ascii="Calibri" w:hAnsi="Calibri" w:cs="Calibri"/>
                <w:sz w:val="20"/>
                <w:szCs w:val="20"/>
              </w:rPr>
              <w:t xml:space="preserve"> or </w:t>
            </w:r>
            <w:proofErr w:type="spellStart"/>
            <w:r>
              <w:rPr>
                <w:rFonts w:ascii="Calibri" w:hAnsi="Calibri" w:cs="Calibri"/>
                <w:sz w:val="20"/>
                <w:szCs w:val="20"/>
              </w:rPr>
              <w:t>no</w:t>
            </w:r>
            <w:proofErr w:type="spellEnd"/>
            <w:r>
              <w:rPr>
                <w:rFonts w:ascii="Calibri" w:hAnsi="Calibri" w:cs="Calibri"/>
                <w:sz w:val="20"/>
                <w:szCs w:val="20"/>
              </w:rPr>
              <w:t xml:space="preserve"> </w:t>
            </w:r>
            <w:proofErr w:type="spellStart"/>
            <w:r>
              <w:rPr>
                <w:rFonts w:ascii="Calibri" w:hAnsi="Calibri" w:cs="Calibri"/>
                <w:sz w:val="20"/>
                <w:szCs w:val="20"/>
              </w:rPr>
              <w:t>specific</w:t>
            </w:r>
            <w:proofErr w:type="spellEnd"/>
            <w:r>
              <w:rPr>
                <w:rFonts w:ascii="Calibri" w:hAnsi="Calibri" w:cs="Calibri"/>
                <w:sz w:val="20"/>
                <w:szCs w:val="20"/>
              </w:rPr>
              <w:t xml:space="preserve"> </w:t>
            </w:r>
            <w:proofErr w:type="spellStart"/>
            <w:r>
              <w:rPr>
                <w:rFonts w:ascii="Calibri" w:hAnsi="Calibri" w:cs="Calibri"/>
                <w:sz w:val="20"/>
                <w:szCs w:val="20"/>
              </w:rPr>
              <w:t>oxygenation</w:t>
            </w:r>
            <w:proofErr w:type="spellEnd"/>
            <w:r>
              <w:rPr>
                <w:rFonts w:ascii="Calibri" w:hAnsi="Calibri" w:cs="Calibri"/>
                <w:sz w:val="20"/>
                <w:szCs w:val="20"/>
              </w:rPr>
              <w:t xml:space="preserve"> </w:t>
            </w:r>
            <w:proofErr w:type="spellStart"/>
            <w:r>
              <w:rPr>
                <w:rFonts w:ascii="Calibri" w:hAnsi="Calibri" w:cs="Calibri"/>
                <w:sz w:val="20"/>
                <w:szCs w:val="20"/>
              </w:rPr>
              <w:t>strategy</w:t>
            </w:r>
            <w:proofErr w:type="spellEnd"/>
          </w:p>
        </w:tc>
      </w:tr>
      <w:tr w:rsidR="00270546" w:rsidRPr="00A73190"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77777777" w:rsidR="00270546" w:rsidRPr="00A73190" w:rsidRDefault="00270546" w:rsidP="00892C73">
            <w:pPr>
              <w:spacing w:line="200" w:lineRule="atLeast"/>
              <w:rPr>
                <w:rFonts w:ascii="Calibri" w:eastAsia="Times New Roman" w:hAnsi="Calibri" w:cs="Calibri"/>
                <w:sz w:val="20"/>
                <w:szCs w:val="20"/>
              </w:rPr>
            </w:pPr>
            <w:proofErr w:type="spellStart"/>
            <w:r>
              <w:rPr>
                <w:rFonts w:ascii="Calibri" w:eastAsia="Times New Roman" w:hAnsi="Calibri" w:cs="Calibri"/>
                <w:sz w:val="20"/>
                <w:szCs w:val="20"/>
              </w:rPr>
              <w:t>Survival</w:t>
            </w:r>
            <w:proofErr w:type="spellEnd"/>
            <w:r>
              <w:rPr>
                <w:rFonts w:ascii="Calibri" w:eastAsia="Times New Roman" w:hAnsi="Calibri" w:cs="Calibri"/>
                <w:sz w:val="20"/>
                <w:szCs w:val="20"/>
              </w:rPr>
              <w:t xml:space="preserve"> to hospital </w:t>
            </w:r>
            <w:proofErr w:type="spellStart"/>
            <w:r>
              <w:rPr>
                <w:rFonts w:ascii="Calibri" w:eastAsia="Times New Roman" w:hAnsi="Calibri" w:cs="Calibri"/>
                <w:sz w:val="20"/>
                <w:szCs w:val="20"/>
              </w:rPr>
              <w:t>discharge</w:t>
            </w:r>
            <w:proofErr w:type="spellEnd"/>
            <w:r>
              <w:rPr>
                <w:rFonts w:ascii="Calibri" w:eastAsia="Times New Roman" w:hAnsi="Calibri" w:cs="Calibri"/>
                <w:sz w:val="20"/>
                <w:szCs w:val="20"/>
              </w:rPr>
              <w:t xml:space="preserve">, 3 </w:t>
            </w:r>
            <w:proofErr w:type="spellStart"/>
            <w:r>
              <w:rPr>
                <w:rFonts w:ascii="Calibri" w:eastAsia="Times New Roman" w:hAnsi="Calibri" w:cs="Calibri"/>
                <w:sz w:val="20"/>
                <w:szCs w:val="20"/>
              </w:rPr>
              <w:t>months</w:t>
            </w:r>
            <w:proofErr w:type="spellEnd"/>
            <w:r>
              <w:rPr>
                <w:rFonts w:ascii="Calibri" w:eastAsia="Times New Roman" w:hAnsi="Calibri" w:cs="Calibri"/>
                <w:sz w:val="20"/>
                <w:szCs w:val="20"/>
              </w:rPr>
              <w:t xml:space="preserve"> or longer; </w:t>
            </w:r>
            <w:proofErr w:type="spellStart"/>
            <w:r>
              <w:rPr>
                <w:rFonts w:ascii="Calibri" w:eastAsia="Times New Roman" w:hAnsi="Calibri" w:cs="Calibri"/>
                <w:sz w:val="20"/>
                <w:szCs w:val="20"/>
              </w:rPr>
              <w:t>survival</w:t>
            </w:r>
            <w:proofErr w:type="spellEnd"/>
            <w:r>
              <w:rPr>
                <w:rFonts w:ascii="Calibri" w:eastAsia="Times New Roman" w:hAnsi="Calibri" w:cs="Calibri"/>
                <w:sz w:val="20"/>
                <w:szCs w:val="20"/>
              </w:rPr>
              <w:t xml:space="preserve"> to hospital </w:t>
            </w:r>
            <w:proofErr w:type="spellStart"/>
            <w:r>
              <w:rPr>
                <w:rFonts w:ascii="Calibri" w:eastAsia="Times New Roman" w:hAnsi="Calibri" w:cs="Calibri"/>
                <w:sz w:val="20"/>
                <w:szCs w:val="20"/>
              </w:rPr>
              <w:t>discharge</w:t>
            </w:r>
            <w:proofErr w:type="spellEnd"/>
            <w:r>
              <w:rPr>
                <w:rFonts w:ascii="Calibri" w:eastAsia="Times New Roman" w:hAnsi="Calibri" w:cs="Calibri"/>
                <w:sz w:val="20"/>
                <w:szCs w:val="20"/>
              </w:rPr>
              <w:t xml:space="preserve">, 3 </w:t>
            </w:r>
            <w:proofErr w:type="spellStart"/>
            <w:r>
              <w:rPr>
                <w:rFonts w:ascii="Calibri" w:eastAsia="Times New Roman" w:hAnsi="Calibri" w:cs="Calibri"/>
                <w:sz w:val="20"/>
                <w:szCs w:val="20"/>
              </w:rPr>
              <w:t>months</w:t>
            </w:r>
            <w:proofErr w:type="spellEnd"/>
            <w:r>
              <w:rPr>
                <w:rFonts w:ascii="Calibri" w:eastAsia="Times New Roman" w:hAnsi="Calibri" w:cs="Calibri"/>
                <w:sz w:val="20"/>
                <w:szCs w:val="20"/>
              </w:rPr>
              <w:t xml:space="preserve"> or longer with favorable </w:t>
            </w:r>
            <w:proofErr w:type="spellStart"/>
            <w:r>
              <w:rPr>
                <w:rFonts w:ascii="Calibri" w:eastAsia="Times New Roman" w:hAnsi="Calibri" w:cs="Calibri"/>
                <w:sz w:val="20"/>
                <w:szCs w:val="20"/>
              </w:rPr>
              <w:t>neurologic</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outcome</w:t>
            </w:r>
            <w:proofErr w:type="spellEnd"/>
            <w:r>
              <w:rPr>
                <w:rFonts w:ascii="Calibri" w:eastAsia="Times New Roman" w:hAnsi="Calibri" w:cs="Calibri"/>
                <w:sz w:val="20"/>
                <w:szCs w:val="20"/>
              </w:rPr>
              <w:t>.</w:t>
            </w:r>
          </w:p>
        </w:tc>
      </w:tr>
      <w:tr w:rsidR="00270546" w:rsidRPr="00A73190" w14:paraId="2060D2C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2C50C8A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0EC9D71" w14:textId="1B856D53" w:rsidR="00270546" w:rsidRPr="00A73190" w:rsidRDefault="00613621" w:rsidP="00892C73">
            <w:pPr>
              <w:pStyle w:val="NormalWeb"/>
              <w:spacing w:before="0" w:beforeAutospacing="0" w:after="0" w:afterAutospacing="0" w:line="200" w:lineRule="atLeast"/>
              <w:rPr>
                <w:rFonts w:ascii="Calibri" w:hAnsi="Calibri" w:cs="Calibri"/>
                <w:sz w:val="20"/>
                <w:szCs w:val="20"/>
              </w:rPr>
            </w:pPr>
            <w:proofErr w:type="spellStart"/>
            <w:r>
              <w:rPr>
                <w:rFonts w:ascii="Calibri" w:hAnsi="Calibri" w:cs="Calibri"/>
                <w:sz w:val="20"/>
                <w:szCs w:val="20"/>
              </w:rPr>
              <w:t>Pre</w:t>
            </w:r>
            <w:proofErr w:type="spellEnd"/>
            <w:r>
              <w:rPr>
                <w:rFonts w:ascii="Calibri" w:hAnsi="Calibri" w:cs="Calibri"/>
                <w:sz w:val="20"/>
                <w:szCs w:val="20"/>
              </w:rPr>
              <w:t xml:space="preserve">-hospital or in the hospital </w:t>
            </w:r>
            <w:proofErr w:type="spellStart"/>
            <w:r>
              <w:rPr>
                <w:rFonts w:ascii="Calibri" w:hAnsi="Calibri" w:cs="Calibri"/>
                <w:sz w:val="20"/>
                <w:szCs w:val="20"/>
              </w:rPr>
              <w:t>setting</w:t>
            </w:r>
            <w:proofErr w:type="spellEnd"/>
          </w:p>
        </w:tc>
      </w:tr>
    </w:tbl>
    <w:p w14:paraId="540AB1DF"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p>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3147"/>
        <w:gridCol w:w="8698"/>
        <w:gridCol w:w="2539"/>
      </w:tblGrid>
      <w:tr w:rsidR="000526C3" w:rsidRPr="00A96752"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CD2D3A" w:rsidRDefault="00045AFF">
            <w:pPr>
              <w:divId w:val="31591581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2D986ADB" w:rsidR="000526C3" w:rsidRPr="00CD2D3A" w:rsidRDefault="00045AFF">
            <w:pPr>
              <w:divId w:val="1440222988"/>
              <w:rPr>
                <w:rFonts w:ascii="Calibri" w:eastAsia="Times New Roman" w:hAnsi="Calibri" w:cs="Calibri"/>
                <w:sz w:val="16"/>
                <w:szCs w:val="16"/>
                <w:lang w:val="en-US"/>
              </w:rPr>
            </w:pPr>
            <w:r w:rsidRPr="00CD2D3A">
              <w:rPr>
                <w:rFonts w:ascii="Calibri" w:eastAsia="Times New Roman" w:hAnsi="Calibri" w:cs="Calibri"/>
                <w:sz w:val="16"/>
                <w:szCs w:val="16"/>
                <w:lang w:val="en-US"/>
              </w:rPr>
              <w:t>Cardiac arrest</w:t>
            </w:r>
            <w:r w:rsidR="00345FB7">
              <w:rPr>
                <w:rFonts w:ascii="Calibri" w:eastAsia="Times New Roman" w:hAnsi="Calibri" w:cs="Calibri"/>
                <w:sz w:val="16"/>
                <w:szCs w:val="16"/>
                <w:lang w:val="en-US"/>
              </w:rPr>
              <w:t xml:space="preserve"> in children is a high morbidity and mortality event, and neurologic injury is common in those who do survive</w:t>
            </w:r>
            <w:r w:rsidRPr="00CD2D3A">
              <w:rPr>
                <w:rFonts w:ascii="Calibri" w:eastAsia="Times New Roman" w:hAnsi="Calibri" w:cs="Calibri"/>
                <w:sz w:val="16"/>
                <w:szCs w:val="16"/>
                <w:lang w:val="en-US"/>
              </w:rPr>
              <w:t>.</w:t>
            </w:r>
            <w:r w:rsidR="00270546">
              <w:rPr>
                <w:rFonts w:ascii="Calibri" w:eastAsia="Times New Roman" w:hAnsi="Calibri" w:cs="Calibri"/>
                <w:sz w:val="16"/>
                <w:szCs w:val="16"/>
                <w:lang w:val="en-US"/>
              </w:rPr>
              <w:t xml:space="preserve"> Both hypoxemia and hyperoxia have been thought to possibly be associated with worse outcome in post-arrest patients previously. Hypoxemia may worsen ischemic brain injury and injury to other organs, while hyperoxia may lead to increased oxidative stress and organ damage after reperfusion. Several new </w:t>
            </w:r>
            <w:r w:rsidR="00345FB7">
              <w:rPr>
                <w:rFonts w:ascii="Calibri" w:eastAsia="Times New Roman" w:hAnsi="Calibri" w:cs="Calibri"/>
                <w:sz w:val="16"/>
                <w:szCs w:val="16"/>
                <w:lang w:val="en-US"/>
              </w:rPr>
              <w:t xml:space="preserve">adult </w:t>
            </w:r>
            <w:r w:rsidR="00270546">
              <w:rPr>
                <w:rFonts w:ascii="Calibri" w:eastAsia="Times New Roman" w:hAnsi="Calibri" w:cs="Calibri"/>
                <w:sz w:val="16"/>
                <w:szCs w:val="16"/>
                <w:lang w:val="en-US"/>
              </w:rPr>
              <w:t>studies, both observational and randomized trials, have been published since this topic was last updated in 2015</w:t>
            </w:r>
            <w:r w:rsidR="00345FB7">
              <w:rPr>
                <w:rFonts w:ascii="Calibri" w:eastAsia="Times New Roman" w:hAnsi="Calibri" w:cs="Calibri"/>
                <w:sz w:val="16"/>
                <w:szCs w:val="16"/>
                <w:lang w:val="en-US"/>
              </w:rPr>
              <w:t>. There have been no pediatric studies investigating this question since 2015.</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7A46AD6D" w:rsidR="000526C3" w:rsidRPr="00CD2D3A" w:rsidRDefault="000526C3">
            <w:pPr>
              <w:divId w:val="749501731"/>
              <w:rPr>
                <w:rFonts w:ascii="Calibri" w:eastAsia="Times New Roman" w:hAnsi="Calibri" w:cs="Calibri"/>
                <w:sz w:val="16"/>
                <w:szCs w:val="16"/>
                <w:lang w:val="en-US"/>
              </w:rPr>
            </w:pPr>
          </w:p>
        </w:tc>
      </w:tr>
      <w:tr w:rsidR="000526C3" w:rsidRPr="00A96752"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3DADA2C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DE31" w14:textId="322377CF" w:rsidR="000526C3" w:rsidRPr="00CD2D3A" w:rsidRDefault="00270546">
            <w:pPr>
              <w:divId w:val="814834836"/>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Trivial</w:t>
            </w:r>
            <w:r w:rsidR="00045AFF" w:rsidRPr="00CD2D3A">
              <w:rPr>
                <w:rFonts w:ascii="Calibri" w:eastAsia="Times New Roman" w:hAnsi="Calibri" w:cs="Calibri"/>
                <w:sz w:val="16"/>
                <w:szCs w:val="16"/>
                <w:lang w:val="en-US"/>
              </w:rPr>
              <w:br/>
            </w:r>
            <w:proofErr w:type="gramStart"/>
            <w:r w:rsidR="00452EFB" w:rsidRPr="00CD2D3A">
              <w:rPr>
                <w:rStyle w:val="unchecked-marker"/>
                <w:rFonts w:ascii="Calibri" w:eastAsia="Times New Roman" w:hAnsi="Calibri" w:cs="Calibri"/>
                <w:sz w:val="16"/>
                <w:szCs w:val="16"/>
                <w:lang w:val="en-US"/>
              </w:rPr>
              <w:t>○</w:t>
            </w:r>
            <w:r w:rsidR="00597673"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Small</w:t>
            </w:r>
            <w:proofErr w:type="gramEnd"/>
            <w:r w:rsidR="00045AFF" w:rsidRPr="00CD2D3A">
              <w:rPr>
                <w:rFonts w:ascii="Calibri" w:eastAsia="Times New Roman" w:hAnsi="Calibri" w:cs="Calibri"/>
                <w:sz w:val="16"/>
                <w:szCs w:val="16"/>
                <w:lang w:val="en-US"/>
              </w:rPr>
              <w:br/>
            </w:r>
            <w:r w:rsidR="005467BC" w:rsidRPr="00CD2D3A">
              <w:rPr>
                <w:rStyle w:val="unchecked-marker"/>
                <w:rFonts w:ascii="Calibri" w:eastAsia="Times New Roman" w:hAnsi="Calibri" w:cs="Calibri"/>
                <w:sz w:val="16"/>
                <w:szCs w:val="16"/>
                <w:lang w:val="en-US"/>
              </w:rPr>
              <w:t>○</w:t>
            </w:r>
            <w:r w:rsidR="005467BC" w:rsidRPr="00CD2D3A">
              <w:rPr>
                <w:rFonts w:ascii="Calibri" w:eastAsia="Times New Roman" w:hAnsi="Calibri" w:cs="Calibri"/>
                <w:sz w:val="16"/>
                <w:szCs w:val="16"/>
                <w:lang w:val="en-US"/>
              </w:rPr>
              <w:t> </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Moderate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Large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Varies</w:t>
            </w:r>
            <w:r w:rsidR="00045AFF" w:rsidRPr="00CD2D3A">
              <w:rPr>
                <w:rFonts w:ascii="Calibri" w:eastAsia="Times New Roman" w:hAnsi="Calibri" w:cs="Calibri"/>
                <w:sz w:val="16"/>
                <w:szCs w:val="16"/>
                <w:lang w:val="en-US"/>
              </w:rPr>
              <w:br/>
            </w:r>
            <w:r w:rsidR="00452EFB" w:rsidRPr="00CD2D3A">
              <w:rPr>
                <w:rStyle w:val="checked-marker"/>
                <w:rFonts w:ascii="Calibri" w:eastAsia="Times New Roman" w:hAnsi="Calibri" w:cs="Calibri"/>
                <w:sz w:val="16"/>
                <w:szCs w:val="16"/>
                <w:lang w:val="en-US"/>
              </w:rPr>
              <w:t>●</w:t>
            </w:r>
            <w:r w:rsidR="00452EFB" w:rsidRPr="00CD2D3A">
              <w:rPr>
                <w:rFonts w:ascii="Calibri" w:eastAsia="Times New Roman" w:hAnsi="Calibri" w:cs="Calibri"/>
                <w:sz w:val="16"/>
                <w:szCs w:val="16"/>
                <w:lang w:val="en-US"/>
              </w:rPr>
              <w:t> </w:t>
            </w:r>
            <w:r w:rsidR="005467BC"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Don't know</w:t>
            </w:r>
            <w:r w:rsidR="00045AFF"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34F00" w14:textId="0AE5CBD7" w:rsidR="006729C7" w:rsidRDefault="00345FB7">
            <w:pPr>
              <w:rPr>
                <w:rFonts w:ascii="Calibri" w:eastAsia="Times New Roman" w:hAnsi="Calibri" w:cs="Calibri"/>
                <w:sz w:val="16"/>
                <w:szCs w:val="16"/>
                <w:lang w:val="en-US"/>
              </w:rPr>
            </w:pPr>
            <w:r>
              <w:rPr>
                <w:rFonts w:ascii="Calibri" w:eastAsia="Times New Roman" w:hAnsi="Calibri" w:cs="Calibri"/>
                <w:sz w:val="16"/>
                <w:szCs w:val="16"/>
                <w:lang w:val="en-US"/>
              </w:rPr>
              <w:t xml:space="preserve">The three pediatric studies </w:t>
            </w:r>
            <w:r w:rsidR="00BA3256">
              <w:rPr>
                <w:rFonts w:ascii="Calibri" w:eastAsia="Times New Roman" w:hAnsi="Calibri" w:cs="Calibri"/>
                <w:sz w:val="16"/>
                <w:szCs w:val="16"/>
                <w:lang w:val="en-US"/>
              </w:rPr>
              <w:t xml:space="preserve">{Del Castillo 2012, Bennet 2013, Van </w:t>
            </w:r>
            <w:proofErr w:type="spellStart"/>
            <w:r w:rsidR="00BA3256">
              <w:rPr>
                <w:rFonts w:ascii="Calibri" w:eastAsia="Times New Roman" w:hAnsi="Calibri" w:cs="Calibri"/>
                <w:sz w:val="16"/>
                <w:szCs w:val="16"/>
                <w:lang w:val="en-US"/>
              </w:rPr>
              <w:t>Zellem</w:t>
            </w:r>
            <w:proofErr w:type="spellEnd"/>
            <w:r w:rsidR="00BA3256">
              <w:rPr>
                <w:rFonts w:ascii="Calibri" w:eastAsia="Times New Roman" w:hAnsi="Calibri" w:cs="Calibri"/>
                <w:sz w:val="16"/>
                <w:szCs w:val="16"/>
                <w:lang w:val="en-US"/>
              </w:rPr>
              <w:t xml:space="preserve"> 2015} </w:t>
            </w:r>
            <w:r>
              <w:rPr>
                <w:rFonts w:ascii="Calibri" w:eastAsia="Times New Roman" w:hAnsi="Calibri" w:cs="Calibri"/>
                <w:sz w:val="16"/>
                <w:szCs w:val="16"/>
                <w:lang w:val="en-US"/>
              </w:rPr>
              <w:t xml:space="preserve">deemed to have only serious risk of bias all found no significant association between hyperoxia and outcomes. Only one of these </w:t>
            </w:r>
            <w:r w:rsidR="00BA3256">
              <w:rPr>
                <w:rFonts w:ascii="Calibri" w:eastAsia="Times New Roman" w:hAnsi="Calibri" w:cs="Calibri"/>
                <w:sz w:val="16"/>
                <w:szCs w:val="16"/>
                <w:lang w:val="en-US"/>
              </w:rPr>
              <w:t xml:space="preserve">{Del Castillo 2012} </w:t>
            </w:r>
            <w:r>
              <w:rPr>
                <w:rFonts w:ascii="Calibri" w:eastAsia="Times New Roman" w:hAnsi="Calibri" w:cs="Calibri"/>
                <w:sz w:val="16"/>
                <w:szCs w:val="16"/>
                <w:lang w:val="en-US"/>
              </w:rPr>
              <w:t xml:space="preserve">looked at hypoxia, and also found no association with outcome. </w:t>
            </w:r>
            <w:r w:rsidR="006729C7">
              <w:rPr>
                <w:rFonts w:ascii="Calibri" w:eastAsia="Times New Roman" w:hAnsi="Calibri" w:cs="Calibri"/>
                <w:sz w:val="16"/>
                <w:szCs w:val="16"/>
                <w:lang w:val="en-US"/>
              </w:rPr>
              <w:t xml:space="preserve">One larger registry-based study </w:t>
            </w:r>
            <w:r w:rsidR="00BA3256">
              <w:rPr>
                <w:rFonts w:ascii="Calibri" w:eastAsia="Times New Roman" w:hAnsi="Calibri" w:cs="Calibri"/>
                <w:sz w:val="16"/>
                <w:szCs w:val="16"/>
                <w:lang w:val="en-US"/>
              </w:rPr>
              <w:t xml:space="preserve">{Ferguson 2012} </w:t>
            </w:r>
            <w:r w:rsidR="006729C7">
              <w:rPr>
                <w:rFonts w:ascii="Calibri" w:eastAsia="Times New Roman" w:hAnsi="Calibri" w:cs="Calibri"/>
                <w:sz w:val="16"/>
                <w:szCs w:val="16"/>
                <w:lang w:val="en-US"/>
              </w:rPr>
              <w:t>did find that hyperoxia was associated with higher mortality, but although this study was much larger than the others it was deemed at critical risk of bias</w:t>
            </w:r>
            <w:r w:rsidR="00BA3256">
              <w:rPr>
                <w:rFonts w:ascii="Calibri" w:eastAsia="Times New Roman" w:hAnsi="Calibri" w:cs="Calibri"/>
                <w:sz w:val="16"/>
                <w:szCs w:val="16"/>
                <w:lang w:val="en-US"/>
              </w:rPr>
              <w:t xml:space="preserve">. </w:t>
            </w:r>
            <w:r w:rsidR="006729C7">
              <w:rPr>
                <w:rFonts w:ascii="Calibri" w:eastAsia="Times New Roman" w:hAnsi="Calibri" w:cs="Calibri"/>
                <w:sz w:val="16"/>
                <w:szCs w:val="16"/>
                <w:lang w:val="en-US"/>
              </w:rPr>
              <w:t xml:space="preserve">This was due to high concern for both residual confounding </w:t>
            </w:r>
            <w:r w:rsidR="00BA3256">
              <w:rPr>
                <w:rFonts w:ascii="Calibri" w:eastAsia="Times New Roman" w:hAnsi="Calibri" w:cs="Calibri"/>
                <w:sz w:val="16"/>
                <w:szCs w:val="16"/>
                <w:lang w:val="en-US"/>
              </w:rPr>
              <w:t xml:space="preserve">due to the lack of adjustment for cardiac arrest characteristics, </w:t>
            </w:r>
            <w:r w:rsidR="006729C7">
              <w:rPr>
                <w:rFonts w:ascii="Calibri" w:eastAsia="Times New Roman" w:hAnsi="Calibri" w:cs="Calibri"/>
                <w:sz w:val="16"/>
                <w:szCs w:val="16"/>
                <w:lang w:val="en-US"/>
              </w:rPr>
              <w:t xml:space="preserve">and selection bias. There is therefore no convincing evidence from clinical studies demonstrating harm from hyperoxia in children. </w:t>
            </w:r>
          </w:p>
          <w:p w14:paraId="730E6FC6" w14:textId="1CE5C624" w:rsidR="00D65A05" w:rsidRDefault="005467BC">
            <w:pPr>
              <w:rPr>
                <w:rFonts w:eastAsia="Times New Roman" w:cstheme="minorHAnsi"/>
                <w:sz w:val="16"/>
                <w:szCs w:val="16"/>
                <w:lang w:val="en-US"/>
              </w:rPr>
            </w:pPr>
            <w:r>
              <w:rPr>
                <w:rFonts w:ascii="Calibri" w:eastAsia="Times New Roman" w:hAnsi="Calibri" w:cs="Calibri"/>
                <w:sz w:val="16"/>
                <w:szCs w:val="16"/>
                <w:lang w:val="en-US"/>
              </w:rPr>
              <w:t xml:space="preserve">The evidence on the effect </w:t>
            </w:r>
            <w:r w:rsidR="006729C7">
              <w:rPr>
                <w:rFonts w:ascii="Calibri" w:eastAsia="Times New Roman" w:hAnsi="Calibri" w:cs="Calibri"/>
                <w:sz w:val="16"/>
                <w:szCs w:val="16"/>
                <w:lang w:val="en-US"/>
              </w:rPr>
              <w:t>of</w:t>
            </w:r>
            <w:r>
              <w:rPr>
                <w:rFonts w:ascii="Calibri" w:eastAsia="Times New Roman" w:hAnsi="Calibri" w:cs="Calibri"/>
                <w:sz w:val="16"/>
                <w:szCs w:val="16"/>
                <w:lang w:val="en-US"/>
              </w:rPr>
              <w:t xml:space="preserve"> hyperoxia </w:t>
            </w:r>
            <w:r w:rsidR="006729C7">
              <w:rPr>
                <w:rFonts w:ascii="Calibri" w:eastAsia="Times New Roman" w:hAnsi="Calibri" w:cs="Calibri"/>
                <w:sz w:val="16"/>
                <w:szCs w:val="16"/>
                <w:lang w:val="en-US"/>
              </w:rPr>
              <w:t xml:space="preserve">on </w:t>
            </w:r>
            <w:r>
              <w:rPr>
                <w:rFonts w:ascii="Calibri" w:eastAsia="Times New Roman" w:hAnsi="Calibri" w:cs="Calibri"/>
                <w:sz w:val="16"/>
                <w:szCs w:val="16"/>
                <w:lang w:val="en-US"/>
              </w:rPr>
              <w:t xml:space="preserve">survival and neurologic outcome </w:t>
            </w:r>
            <w:r w:rsidR="006729C7">
              <w:rPr>
                <w:rFonts w:ascii="Calibri" w:eastAsia="Times New Roman" w:hAnsi="Calibri" w:cs="Calibri"/>
                <w:sz w:val="16"/>
                <w:szCs w:val="16"/>
                <w:lang w:val="en-US"/>
              </w:rPr>
              <w:t xml:space="preserve">in adults </w:t>
            </w:r>
            <w:r>
              <w:rPr>
                <w:rFonts w:ascii="Calibri" w:eastAsia="Times New Roman" w:hAnsi="Calibri" w:cs="Calibri"/>
                <w:sz w:val="16"/>
                <w:szCs w:val="16"/>
                <w:lang w:val="en-US"/>
              </w:rPr>
              <w:t xml:space="preserve">is very mixed, with many inconsistencies in methodology and results across studies. Randomized trials done </w:t>
            </w:r>
            <w:r w:rsidR="006729C7">
              <w:rPr>
                <w:rFonts w:ascii="Calibri" w:eastAsia="Times New Roman" w:hAnsi="Calibri" w:cs="Calibri"/>
                <w:sz w:val="16"/>
                <w:szCs w:val="16"/>
                <w:lang w:val="en-US"/>
              </w:rPr>
              <w:t xml:space="preserve">in adults </w:t>
            </w:r>
            <w:r>
              <w:rPr>
                <w:rFonts w:ascii="Calibri" w:eastAsia="Times New Roman" w:hAnsi="Calibri" w:cs="Calibri"/>
                <w:sz w:val="16"/>
                <w:szCs w:val="16"/>
                <w:lang w:val="en-US"/>
              </w:rPr>
              <w:t xml:space="preserve">to date are very small and the observational studies are all at serious or critical risk of bias. Within these limitations studies have reported a mix of positive and negative results, leaving true uncertainty. Randomized trials and observational studies have generally found either no effect or a possible benefit from </w:t>
            </w:r>
            <w:proofErr w:type="spellStart"/>
            <w:r>
              <w:rPr>
                <w:rFonts w:ascii="Calibri" w:eastAsia="Times New Roman" w:hAnsi="Calibri" w:cs="Calibri"/>
                <w:sz w:val="16"/>
                <w:szCs w:val="16"/>
                <w:lang w:val="en-US"/>
              </w:rPr>
              <w:lastRenderedPageBreak/>
              <w:t>normoxia</w:t>
            </w:r>
            <w:proofErr w:type="spellEnd"/>
            <w:r>
              <w:rPr>
                <w:rFonts w:ascii="Calibri" w:eastAsia="Times New Roman" w:hAnsi="Calibri" w:cs="Calibri"/>
                <w:sz w:val="16"/>
                <w:szCs w:val="16"/>
                <w:lang w:val="en-US"/>
              </w:rPr>
              <w:t xml:space="preserve"> compared to hyperoxia. </w:t>
            </w:r>
            <w:r w:rsidR="00597673" w:rsidRPr="00597673">
              <w:rPr>
                <w:rFonts w:eastAsia="Times New Roman" w:cstheme="minorHAnsi"/>
                <w:sz w:val="16"/>
                <w:szCs w:val="16"/>
                <w:lang w:val="en-US"/>
              </w:rPr>
              <w:t xml:space="preserve">The recent </w:t>
            </w:r>
            <w:r w:rsidR="006729C7">
              <w:rPr>
                <w:rFonts w:eastAsia="Times New Roman" w:cstheme="minorHAnsi"/>
                <w:sz w:val="16"/>
                <w:szCs w:val="16"/>
                <w:lang w:val="en-US"/>
              </w:rPr>
              <w:t xml:space="preserve">adult </w:t>
            </w:r>
            <w:r w:rsidR="00597673" w:rsidRPr="00597673">
              <w:rPr>
                <w:rFonts w:eastAsia="Times New Roman" w:cstheme="minorHAnsi"/>
                <w:sz w:val="16"/>
                <w:szCs w:val="16"/>
                <w:lang w:val="en-US"/>
              </w:rPr>
              <w:t xml:space="preserve">RCT that included a subgroup of post-arrest patients (larger than any of the RCTs done previously) </w:t>
            </w:r>
            <w:r w:rsidR="00597673">
              <w:rPr>
                <w:rFonts w:eastAsia="Times New Roman" w:cstheme="minorHAnsi"/>
                <w:sz w:val="16"/>
                <w:szCs w:val="16"/>
                <w:lang w:val="en-US"/>
              </w:rPr>
              <w:t xml:space="preserve">found a benefit in the conservative (lower) oxygen group. </w:t>
            </w:r>
          </w:p>
          <w:p w14:paraId="35EF165D" w14:textId="52537791" w:rsidR="00BB4FD0" w:rsidRDefault="00BB4FD0">
            <w:pPr>
              <w:rPr>
                <w:rFonts w:eastAsia="Times New Roman" w:cstheme="minorHAnsi"/>
                <w:sz w:val="16"/>
                <w:szCs w:val="16"/>
                <w:lang w:val="en-US"/>
              </w:rPr>
            </w:pPr>
            <w:r>
              <w:rPr>
                <w:rFonts w:eastAsia="Times New Roman" w:cstheme="minorHAnsi"/>
                <w:sz w:val="16"/>
                <w:szCs w:val="16"/>
                <w:lang w:val="en-US"/>
              </w:rPr>
              <w:t>GRADE TABLES FOR LOWER OXYGEN STRATEGY COMPARED TO HIGHER OXYGEN STRATEGY IN THE ICU (all studies are in adults, downgraded additionally for indirectness for pediatrics)</w:t>
            </w:r>
          </w:p>
          <w:tbl>
            <w:tblPr>
              <w:tblpPr w:leftFromText="180" w:rightFromText="180" w:horzAnchor="margin" w:tblpY="-813"/>
              <w:tblOverlap w:val="never"/>
              <w:tblW w:w="7461" w:type="dxa"/>
              <w:tblCellMar>
                <w:top w:w="100" w:type="dxa"/>
                <w:left w:w="100" w:type="dxa"/>
                <w:bottom w:w="100" w:type="dxa"/>
                <w:right w:w="100" w:type="dxa"/>
              </w:tblCellMar>
              <w:tblLook w:val="04A0" w:firstRow="1" w:lastRow="0" w:firstColumn="1" w:lastColumn="0" w:noHBand="0" w:noVBand="1"/>
            </w:tblPr>
            <w:tblGrid>
              <w:gridCol w:w="832"/>
              <w:gridCol w:w="1070"/>
              <w:gridCol w:w="873"/>
              <w:gridCol w:w="22"/>
              <w:gridCol w:w="782"/>
              <w:gridCol w:w="604"/>
              <w:gridCol w:w="1030"/>
              <w:gridCol w:w="1092"/>
              <w:gridCol w:w="775"/>
              <w:gridCol w:w="15"/>
              <w:gridCol w:w="366"/>
            </w:tblGrid>
            <w:tr w:rsidR="00BB4FD0" w14:paraId="175F0BF3" w14:textId="77777777" w:rsidTr="00F83591">
              <w:trPr>
                <w:gridAfter w:val="2"/>
                <w:wAfter w:w="255" w:type="pct"/>
                <w:cantSplit/>
                <w:trHeight w:val="465"/>
                <w:tblHeader/>
              </w:trPr>
              <w:tc>
                <w:tcPr>
                  <w:tcW w:w="55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79F1092" w14:textId="77777777" w:rsidR="00BB4FD0" w:rsidRDefault="00BB4FD0" w:rsidP="00BB4FD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lastRenderedPageBreak/>
                    <w:t>№ of studies</w:t>
                  </w:r>
                </w:p>
              </w:tc>
              <w:tc>
                <w:tcPr>
                  <w:tcW w:w="71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C4B996A" w14:textId="77777777" w:rsidR="00BB4FD0" w:rsidRDefault="00BB4FD0" w:rsidP="00BB4FD0">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Study</w:t>
                  </w:r>
                  <w:proofErr w:type="spellEnd"/>
                  <w:r>
                    <w:rPr>
                      <w:rFonts w:ascii="Arial Narrow" w:eastAsia="Times New Roman" w:hAnsi="Arial Narrow"/>
                      <w:b/>
                      <w:bCs/>
                      <w:color w:val="FFFFFF"/>
                      <w:sz w:val="13"/>
                      <w:szCs w:val="13"/>
                    </w:rPr>
                    <w:t xml:space="preserve"> design</w:t>
                  </w:r>
                </w:p>
              </w:tc>
              <w:tc>
                <w:tcPr>
                  <w:tcW w:w="60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B495252" w14:textId="77777777" w:rsidR="00BB4FD0" w:rsidRDefault="00BB4FD0" w:rsidP="00BB4FD0">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lower</w:t>
                  </w:r>
                  <w:proofErr w:type="spellEnd"/>
                  <w:r>
                    <w:rPr>
                      <w:rFonts w:ascii="Arial Narrow" w:eastAsia="Times New Roman" w:hAnsi="Arial Narrow"/>
                      <w:b/>
                      <w:bCs/>
                      <w:color w:val="FFFFFF"/>
                      <w:sz w:val="13"/>
                      <w:szCs w:val="13"/>
                    </w:rPr>
                    <w:t xml:space="preserve"> % oxygen</w:t>
                  </w:r>
                </w:p>
              </w:tc>
              <w:tc>
                <w:tcPr>
                  <w:tcW w:w="52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6E7F353" w14:textId="77777777" w:rsidR="00BB4FD0" w:rsidRDefault="00BB4FD0" w:rsidP="00BB4FD0">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higher</w:t>
                  </w:r>
                  <w:proofErr w:type="spellEnd"/>
                  <w:r>
                    <w:rPr>
                      <w:rFonts w:ascii="Arial Narrow" w:eastAsia="Times New Roman" w:hAnsi="Arial Narrow"/>
                      <w:b/>
                      <w:bCs/>
                      <w:color w:val="FFFFFF"/>
                      <w:sz w:val="13"/>
                      <w:szCs w:val="13"/>
                    </w:rPr>
                    <w:t xml:space="preserve"> % oxygen</w:t>
                  </w:r>
                </w:p>
              </w:tc>
              <w:tc>
                <w:tcPr>
                  <w:tcW w:w="405"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B6E8155" w14:textId="77777777" w:rsidR="00BB4FD0" w:rsidRDefault="00BB4FD0" w:rsidP="00BB4FD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690" w:type="pct"/>
                  <w:tcBorders>
                    <w:top w:val="single" w:sz="12" w:space="0" w:color="FFFFFF"/>
                    <w:left w:val="single" w:sz="12" w:space="0" w:color="FFFFFF"/>
                    <w:bottom w:val="single" w:sz="12" w:space="0" w:color="FFFFFF"/>
                    <w:right w:val="single" w:sz="12" w:space="0" w:color="FFFFFF"/>
                  </w:tcBorders>
                  <w:shd w:val="clear" w:color="auto" w:fill="2F5496"/>
                  <w:vAlign w:val="center"/>
                </w:tcPr>
                <w:p w14:paraId="49646CF9" w14:textId="77777777" w:rsidR="00BB4FD0" w:rsidRDefault="00BB4FD0" w:rsidP="00BB4FD0">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Absolute</w:t>
                  </w:r>
                  <w:proofErr w:type="spellEnd"/>
                  <w:r>
                    <w:rPr>
                      <w:rFonts w:ascii="Arial Narrow" w:eastAsia="Times New Roman" w:hAnsi="Arial Narrow"/>
                      <w:b/>
                      <w:bCs/>
                      <w:color w:val="FFFFFF"/>
                      <w:sz w:val="13"/>
                      <w:szCs w:val="13"/>
                    </w:rPr>
                    <w:br/>
                    <w:t>(95% CI)</w:t>
                  </w:r>
                </w:p>
              </w:tc>
              <w:tc>
                <w:tcPr>
                  <w:tcW w:w="732" w:type="pct"/>
                  <w:tcBorders>
                    <w:top w:val="single" w:sz="12" w:space="0" w:color="FFFFFF"/>
                    <w:left w:val="single" w:sz="12" w:space="0" w:color="FFFFFF"/>
                    <w:bottom w:val="single" w:sz="12" w:space="0" w:color="FFFFFF"/>
                    <w:right w:val="single" w:sz="12" w:space="0" w:color="FFFFFF"/>
                  </w:tcBorders>
                  <w:shd w:val="clear" w:color="auto" w:fill="2F5496"/>
                  <w:vAlign w:val="center"/>
                </w:tcPr>
                <w:p w14:paraId="2CB57728" w14:textId="77777777" w:rsidR="00BB4FD0" w:rsidRDefault="00BB4FD0" w:rsidP="00BB4FD0">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Certainty</w:t>
                  </w:r>
                  <w:proofErr w:type="spellEnd"/>
                </w:p>
              </w:tc>
              <w:tc>
                <w:tcPr>
                  <w:tcW w:w="519" w:type="pct"/>
                  <w:tcBorders>
                    <w:top w:val="single" w:sz="12" w:space="0" w:color="FFFFFF"/>
                    <w:left w:val="single" w:sz="12" w:space="0" w:color="FFFFFF"/>
                    <w:bottom w:val="single" w:sz="12" w:space="0" w:color="FFFFFF"/>
                    <w:right w:val="single" w:sz="12" w:space="0" w:color="FFFFFF"/>
                  </w:tcBorders>
                  <w:shd w:val="clear" w:color="auto" w:fill="2F5496"/>
                  <w:vAlign w:val="center"/>
                </w:tcPr>
                <w:p w14:paraId="48A9062F" w14:textId="77777777" w:rsidR="00BB4FD0" w:rsidRDefault="00BB4FD0" w:rsidP="00BB4FD0">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Importance</w:t>
                  </w:r>
                  <w:proofErr w:type="spellEnd"/>
                </w:p>
              </w:tc>
            </w:tr>
            <w:tr w:rsidR="00BB4FD0" w14:paraId="7F72B0C4" w14:textId="77777777" w:rsidTr="00F83591">
              <w:trPr>
                <w:cantSplit/>
                <w:trHeight w:val="318"/>
              </w:trPr>
              <w:tc>
                <w:tcPr>
                  <w:tcW w:w="5000" w:type="pct"/>
                  <w:gridSpan w:val="11"/>
                  <w:shd w:val="clear" w:color="auto" w:fill="FFFFFF"/>
                  <w:tcMar>
                    <w:top w:w="75" w:type="dxa"/>
                    <w:left w:w="100" w:type="dxa"/>
                    <w:bottom w:w="100" w:type="dxa"/>
                    <w:right w:w="100" w:type="dxa"/>
                  </w:tcMar>
                  <w:vAlign w:val="center"/>
                  <w:hideMark/>
                </w:tcPr>
                <w:p w14:paraId="345A18B5" w14:textId="77777777" w:rsidR="00BB4FD0" w:rsidRDefault="00BB4FD0" w:rsidP="00BB4FD0">
                  <w:pPr>
                    <w:rPr>
                      <w:rFonts w:ascii="Arial Narrow" w:eastAsia="Times New Roman" w:hAnsi="Arial Narrow"/>
                      <w:b/>
                      <w:bCs/>
                      <w:color w:val="000000"/>
                      <w:sz w:val="13"/>
                      <w:szCs w:val="13"/>
                    </w:rPr>
                  </w:pPr>
                  <w:proofErr w:type="spellStart"/>
                  <w:r>
                    <w:rPr>
                      <w:rStyle w:val="label"/>
                      <w:rFonts w:ascii="Arial Narrow" w:eastAsia="Times New Roman" w:hAnsi="Arial Narrow"/>
                      <w:b/>
                      <w:bCs/>
                      <w:color w:val="000000"/>
                      <w:sz w:val="13"/>
                      <w:szCs w:val="13"/>
                    </w:rPr>
                    <w:t>Survival</w:t>
                  </w:r>
                  <w:proofErr w:type="spellEnd"/>
                  <w:r>
                    <w:rPr>
                      <w:rStyle w:val="label"/>
                      <w:rFonts w:ascii="Arial Narrow" w:eastAsia="Times New Roman" w:hAnsi="Arial Narrow"/>
                      <w:b/>
                      <w:bCs/>
                      <w:color w:val="000000"/>
                      <w:sz w:val="13"/>
                      <w:szCs w:val="13"/>
                    </w:rPr>
                    <w:t xml:space="preserve"> to </w:t>
                  </w:r>
                  <w:proofErr w:type="spellStart"/>
                  <w:r>
                    <w:rPr>
                      <w:rStyle w:val="label"/>
                      <w:rFonts w:ascii="Arial Narrow" w:eastAsia="Times New Roman" w:hAnsi="Arial Narrow"/>
                      <w:b/>
                      <w:bCs/>
                      <w:color w:val="000000"/>
                      <w:sz w:val="13"/>
                      <w:szCs w:val="13"/>
                    </w:rPr>
                    <w:t>discharge</w:t>
                  </w:r>
                  <w:proofErr w:type="spellEnd"/>
                  <w:r>
                    <w:rPr>
                      <w:rStyle w:val="label"/>
                      <w:rFonts w:ascii="Arial Narrow" w:eastAsia="Times New Roman" w:hAnsi="Arial Narrow"/>
                      <w:b/>
                      <w:bCs/>
                      <w:color w:val="000000"/>
                      <w:sz w:val="13"/>
                      <w:szCs w:val="13"/>
                    </w:rPr>
                    <w:t>-Young</w:t>
                  </w:r>
                </w:p>
              </w:tc>
            </w:tr>
            <w:tr w:rsidR="00BB4FD0" w14:paraId="69CECFB0" w14:textId="77777777" w:rsidTr="00F83591">
              <w:trPr>
                <w:gridAfter w:val="2"/>
                <w:wAfter w:w="255" w:type="pct"/>
                <w:cantSplit/>
                <w:trHeight w:val="783"/>
              </w:trPr>
              <w:tc>
                <w:tcPr>
                  <w:tcW w:w="558" w:type="pct"/>
                  <w:tcBorders>
                    <w:top w:val="single" w:sz="6" w:space="0" w:color="000000"/>
                    <w:left w:val="single" w:sz="6" w:space="0" w:color="000000"/>
                    <w:bottom w:val="single" w:sz="6" w:space="0" w:color="000000"/>
                    <w:right w:val="single" w:sz="6" w:space="0" w:color="000000"/>
                  </w:tcBorders>
                  <w:hideMark/>
                </w:tcPr>
                <w:p w14:paraId="6DF44750"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4F60A87F" w14:textId="77777777" w:rsidR="00BB4FD0" w:rsidRDefault="00BB4FD0" w:rsidP="00BB4FD0">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trials</w:t>
                  </w:r>
                  <w:proofErr w:type="spellEnd"/>
                  <w:r>
                    <w:rPr>
                      <w:rFonts w:ascii="Arial Narrow" w:eastAsia="Times New Roman" w:hAnsi="Arial Narrow"/>
                      <w:sz w:val="13"/>
                      <w:szCs w:val="13"/>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4A2CE149"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4/8 (50.0%) </w:t>
                  </w:r>
                </w:p>
              </w:tc>
              <w:tc>
                <w:tcPr>
                  <w:tcW w:w="524" w:type="pct"/>
                  <w:tcBorders>
                    <w:top w:val="single" w:sz="6" w:space="0" w:color="000000"/>
                    <w:left w:val="single" w:sz="6" w:space="0" w:color="000000"/>
                    <w:bottom w:val="single" w:sz="6" w:space="0" w:color="000000"/>
                    <w:right w:val="single" w:sz="6" w:space="0" w:color="000000"/>
                  </w:tcBorders>
                  <w:hideMark/>
                </w:tcPr>
                <w:p w14:paraId="36CB7C7F" w14:textId="77777777" w:rsidR="00BB4FD0" w:rsidRDefault="00BB4FD0" w:rsidP="00BB4FD0">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4/9 (44.4%) </w:t>
                  </w:r>
                </w:p>
              </w:tc>
              <w:tc>
                <w:tcPr>
                  <w:tcW w:w="405" w:type="pct"/>
                  <w:tcBorders>
                    <w:top w:val="single" w:sz="6" w:space="0" w:color="000000"/>
                    <w:left w:val="single" w:sz="6" w:space="0" w:color="000000"/>
                    <w:bottom w:val="single" w:sz="6" w:space="0" w:color="000000"/>
                    <w:right w:val="single" w:sz="6" w:space="0" w:color="000000"/>
                  </w:tcBorders>
                  <w:hideMark/>
                </w:tcPr>
                <w:p w14:paraId="3773D8D9" w14:textId="77777777" w:rsidR="00BB4FD0" w:rsidRDefault="00BB4FD0" w:rsidP="00BB4FD0">
                  <w:pPr>
                    <w:jc w:val="center"/>
                    <w:rPr>
                      <w:rFonts w:ascii="Arial Narrow" w:eastAsia="Times New Roman" w:hAnsi="Arial Narrow"/>
                      <w:sz w:val="13"/>
                      <w:szCs w:val="13"/>
                    </w:rPr>
                  </w:pPr>
                  <w:r>
                    <w:rPr>
                      <w:rStyle w:val="block"/>
                      <w:rFonts w:ascii="Arial Narrow" w:eastAsia="Times New Roman" w:hAnsi="Arial Narrow"/>
                      <w:b/>
                      <w:bCs/>
                      <w:sz w:val="13"/>
                      <w:szCs w:val="13"/>
                    </w:rPr>
                    <w:t>RR 1.13</w:t>
                  </w:r>
                  <w:r>
                    <w:rPr>
                      <w:rFonts w:ascii="Arial Narrow" w:eastAsia="Times New Roman" w:hAnsi="Arial Narrow"/>
                      <w:sz w:val="13"/>
                      <w:szCs w:val="13"/>
                    </w:rPr>
                    <w:br/>
                  </w:r>
                  <w:r>
                    <w:rPr>
                      <w:rStyle w:val="cell"/>
                      <w:rFonts w:ascii="Arial Narrow" w:eastAsia="Times New Roman" w:hAnsi="Arial Narrow"/>
                      <w:sz w:val="13"/>
                      <w:szCs w:val="13"/>
                    </w:rPr>
                    <w:t>(0.41 to 3.08)</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7252C5F6"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b/>
                      <w:bCs/>
                      <w:sz w:val="13"/>
                      <w:szCs w:val="13"/>
                    </w:rPr>
                    <w:t>58 more per 1,000</w:t>
                  </w:r>
                  <w:r>
                    <w:rPr>
                      <w:rFonts w:ascii="Arial Narrow" w:eastAsia="Times New Roman" w:hAnsi="Arial Narrow"/>
                      <w:sz w:val="13"/>
                      <w:szCs w:val="13"/>
                    </w:rPr>
                    <w:br/>
                    <w:t xml:space="preserve">(from 262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to 924 more) </w:t>
                  </w:r>
                </w:p>
              </w:tc>
              <w:tc>
                <w:tcPr>
                  <w:tcW w:w="732" w:type="pct"/>
                  <w:tcBorders>
                    <w:top w:val="single" w:sz="6" w:space="0" w:color="000000"/>
                    <w:left w:val="single" w:sz="6" w:space="0" w:color="000000"/>
                    <w:bottom w:val="single" w:sz="6" w:space="0" w:color="000000"/>
                    <w:right w:val="single" w:sz="6" w:space="0" w:color="000000"/>
                  </w:tcBorders>
                  <w:hideMark/>
                </w:tcPr>
                <w:p w14:paraId="6C8152FE" w14:textId="77777777" w:rsidR="00BB4FD0" w:rsidRDefault="00BB4FD0" w:rsidP="00BB4FD0">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19" w:type="pct"/>
                  <w:tcBorders>
                    <w:top w:val="single" w:sz="6" w:space="0" w:color="000000"/>
                    <w:left w:val="single" w:sz="6" w:space="0" w:color="000000"/>
                    <w:bottom w:val="single" w:sz="6" w:space="0" w:color="000000"/>
                    <w:right w:val="single" w:sz="6" w:space="0" w:color="000000"/>
                  </w:tcBorders>
                  <w:hideMark/>
                </w:tcPr>
                <w:p w14:paraId="3859D861"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CRITICAL</w:t>
                  </w:r>
                </w:p>
              </w:tc>
            </w:tr>
            <w:tr w:rsidR="00BB4FD0" w14:paraId="7F197431" w14:textId="77777777" w:rsidTr="00F83591">
              <w:trPr>
                <w:cantSplit/>
                <w:trHeight w:val="305"/>
              </w:trPr>
              <w:tc>
                <w:tcPr>
                  <w:tcW w:w="5000" w:type="pct"/>
                  <w:gridSpan w:val="11"/>
                  <w:shd w:val="clear" w:color="auto" w:fill="FFFFFF"/>
                  <w:tcMar>
                    <w:top w:w="75" w:type="dxa"/>
                    <w:left w:w="100" w:type="dxa"/>
                    <w:bottom w:w="100" w:type="dxa"/>
                    <w:right w:w="100" w:type="dxa"/>
                  </w:tcMar>
                  <w:vAlign w:val="center"/>
                  <w:hideMark/>
                </w:tcPr>
                <w:p w14:paraId="3E027398" w14:textId="77777777" w:rsidR="00BB4FD0" w:rsidRDefault="00BB4FD0" w:rsidP="00BB4FD0">
                  <w:pPr>
                    <w:rPr>
                      <w:rFonts w:ascii="Arial Narrow" w:eastAsia="Times New Roman" w:hAnsi="Arial Narrow"/>
                      <w:b/>
                      <w:bCs/>
                      <w:color w:val="000000"/>
                      <w:sz w:val="13"/>
                      <w:szCs w:val="13"/>
                    </w:rPr>
                  </w:pPr>
                  <w:proofErr w:type="spellStart"/>
                  <w:r>
                    <w:rPr>
                      <w:rStyle w:val="label"/>
                      <w:rFonts w:ascii="Arial Narrow" w:eastAsia="Times New Roman" w:hAnsi="Arial Narrow"/>
                      <w:b/>
                      <w:bCs/>
                      <w:color w:val="000000"/>
                      <w:sz w:val="13"/>
                      <w:szCs w:val="13"/>
                    </w:rPr>
                    <w:t>Survival</w:t>
                  </w:r>
                  <w:proofErr w:type="spellEnd"/>
                  <w:r>
                    <w:rPr>
                      <w:rStyle w:val="label"/>
                      <w:rFonts w:ascii="Arial Narrow" w:eastAsia="Times New Roman" w:hAnsi="Arial Narrow"/>
                      <w:b/>
                      <w:bCs/>
                      <w:color w:val="000000"/>
                      <w:sz w:val="13"/>
                      <w:szCs w:val="13"/>
                    </w:rPr>
                    <w:t xml:space="preserve"> to </w:t>
                  </w:r>
                  <w:proofErr w:type="spellStart"/>
                  <w:r>
                    <w:rPr>
                      <w:rStyle w:val="label"/>
                      <w:rFonts w:ascii="Arial Narrow" w:eastAsia="Times New Roman" w:hAnsi="Arial Narrow"/>
                      <w:b/>
                      <w:bCs/>
                      <w:color w:val="000000"/>
                      <w:sz w:val="13"/>
                      <w:szCs w:val="13"/>
                    </w:rPr>
                    <w:t>discharge-Jakkula</w:t>
                  </w:r>
                  <w:proofErr w:type="spellEnd"/>
                </w:p>
              </w:tc>
            </w:tr>
            <w:tr w:rsidR="00BB4FD0" w14:paraId="5F4B7104" w14:textId="77777777" w:rsidTr="00F83591">
              <w:trPr>
                <w:gridAfter w:val="1"/>
                <w:wAfter w:w="245" w:type="pct"/>
                <w:cantSplit/>
                <w:trHeight w:val="796"/>
              </w:trPr>
              <w:tc>
                <w:tcPr>
                  <w:tcW w:w="558" w:type="pct"/>
                  <w:tcBorders>
                    <w:top w:val="single" w:sz="6" w:space="0" w:color="000000"/>
                    <w:left w:val="single" w:sz="6" w:space="0" w:color="000000"/>
                    <w:bottom w:val="single" w:sz="6" w:space="0" w:color="000000"/>
                    <w:right w:val="single" w:sz="6" w:space="0" w:color="000000"/>
                  </w:tcBorders>
                  <w:hideMark/>
                </w:tcPr>
                <w:p w14:paraId="0E8B842C"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195A55F1" w14:textId="77777777" w:rsidR="00BB4FD0" w:rsidRDefault="00BB4FD0" w:rsidP="00BB4FD0">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trials</w:t>
                  </w:r>
                  <w:proofErr w:type="spellEnd"/>
                  <w:r>
                    <w:rPr>
                      <w:rFonts w:ascii="Arial Narrow" w:eastAsia="Times New Roman" w:hAnsi="Arial Narrow"/>
                      <w:sz w:val="13"/>
                      <w:szCs w:val="13"/>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399FBCBE"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43/61 (70.5%) </w:t>
                  </w:r>
                </w:p>
              </w:tc>
              <w:tc>
                <w:tcPr>
                  <w:tcW w:w="524" w:type="pct"/>
                  <w:tcBorders>
                    <w:top w:val="single" w:sz="6" w:space="0" w:color="000000"/>
                    <w:left w:val="single" w:sz="6" w:space="0" w:color="000000"/>
                    <w:bottom w:val="single" w:sz="6" w:space="0" w:color="000000"/>
                    <w:right w:val="single" w:sz="6" w:space="0" w:color="000000"/>
                  </w:tcBorders>
                  <w:hideMark/>
                </w:tcPr>
                <w:p w14:paraId="401895B9" w14:textId="77777777" w:rsidR="00BB4FD0" w:rsidRDefault="00BB4FD0" w:rsidP="00BB4FD0">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39/59 (66.1%) </w:t>
                  </w:r>
                </w:p>
              </w:tc>
              <w:tc>
                <w:tcPr>
                  <w:tcW w:w="405" w:type="pct"/>
                  <w:tcBorders>
                    <w:top w:val="single" w:sz="6" w:space="0" w:color="000000"/>
                    <w:left w:val="single" w:sz="6" w:space="0" w:color="000000"/>
                    <w:bottom w:val="single" w:sz="6" w:space="0" w:color="000000"/>
                    <w:right w:val="single" w:sz="6" w:space="0" w:color="000000"/>
                  </w:tcBorders>
                  <w:hideMark/>
                </w:tcPr>
                <w:p w14:paraId="0A34A5BD" w14:textId="77777777" w:rsidR="00BB4FD0" w:rsidRDefault="00BB4FD0" w:rsidP="00BB4FD0">
                  <w:pPr>
                    <w:jc w:val="center"/>
                    <w:rPr>
                      <w:rFonts w:ascii="Arial Narrow" w:eastAsia="Times New Roman" w:hAnsi="Arial Narrow"/>
                      <w:sz w:val="13"/>
                      <w:szCs w:val="13"/>
                    </w:rPr>
                  </w:pPr>
                  <w:r>
                    <w:rPr>
                      <w:rStyle w:val="block"/>
                      <w:rFonts w:ascii="Arial Narrow" w:eastAsia="Times New Roman" w:hAnsi="Arial Narrow"/>
                      <w:b/>
                      <w:bCs/>
                      <w:sz w:val="13"/>
                      <w:szCs w:val="13"/>
                    </w:rPr>
                    <w:t>RR 1.07</w:t>
                  </w:r>
                  <w:r>
                    <w:rPr>
                      <w:rFonts w:ascii="Arial Narrow" w:eastAsia="Times New Roman" w:hAnsi="Arial Narrow"/>
                      <w:sz w:val="13"/>
                      <w:szCs w:val="13"/>
                    </w:rPr>
                    <w:br/>
                  </w:r>
                  <w:r>
                    <w:rPr>
                      <w:rStyle w:val="cell"/>
                      <w:rFonts w:ascii="Arial Narrow" w:eastAsia="Times New Roman" w:hAnsi="Arial Narrow"/>
                      <w:sz w:val="13"/>
                      <w:szCs w:val="13"/>
                    </w:rPr>
                    <w:t>(0.84 to 1.36)</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20C6FABC"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b/>
                      <w:bCs/>
                      <w:sz w:val="13"/>
                      <w:szCs w:val="13"/>
                    </w:rPr>
                    <w:t>46 more per 1,000</w:t>
                  </w:r>
                  <w:r>
                    <w:rPr>
                      <w:rFonts w:ascii="Arial Narrow" w:eastAsia="Times New Roman" w:hAnsi="Arial Narrow"/>
                      <w:sz w:val="13"/>
                      <w:szCs w:val="13"/>
                    </w:rPr>
                    <w:br/>
                    <w:t xml:space="preserve">(from 106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to 238 more) </w:t>
                  </w:r>
                </w:p>
              </w:tc>
              <w:tc>
                <w:tcPr>
                  <w:tcW w:w="732" w:type="pct"/>
                  <w:tcBorders>
                    <w:top w:val="single" w:sz="6" w:space="0" w:color="000000"/>
                    <w:left w:val="single" w:sz="6" w:space="0" w:color="000000"/>
                    <w:bottom w:val="single" w:sz="6" w:space="0" w:color="000000"/>
                    <w:right w:val="single" w:sz="6" w:space="0" w:color="000000"/>
                  </w:tcBorders>
                  <w:hideMark/>
                </w:tcPr>
                <w:p w14:paraId="0C8DC52F" w14:textId="1B3539F2" w:rsidR="00BB4FD0" w:rsidRDefault="00BB4FD0" w:rsidP="00BB4FD0">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t xml:space="preserve">LOW </w:t>
                  </w:r>
                </w:p>
              </w:tc>
              <w:tc>
                <w:tcPr>
                  <w:tcW w:w="529" w:type="pct"/>
                  <w:gridSpan w:val="2"/>
                  <w:tcBorders>
                    <w:top w:val="single" w:sz="6" w:space="0" w:color="000000"/>
                    <w:left w:val="single" w:sz="6" w:space="0" w:color="000000"/>
                    <w:bottom w:val="single" w:sz="6" w:space="0" w:color="000000"/>
                    <w:right w:val="single" w:sz="6" w:space="0" w:color="000000"/>
                  </w:tcBorders>
                  <w:hideMark/>
                </w:tcPr>
                <w:p w14:paraId="35D2491B"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CRITICAL</w:t>
                  </w:r>
                </w:p>
              </w:tc>
            </w:tr>
            <w:tr w:rsidR="00BB4FD0" w14:paraId="4302FFEB" w14:textId="77777777" w:rsidTr="00F83591">
              <w:trPr>
                <w:cantSplit/>
                <w:trHeight w:val="305"/>
              </w:trPr>
              <w:tc>
                <w:tcPr>
                  <w:tcW w:w="5000" w:type="pct"/>
                  <w:gridSpan w:val="11"/>
                  <w:shd w:val="clear" w:color="auto" w:fill="FFFFFF"/>
                  <w:tcMar>
                    <w:top w:w="75" w:type="dxa"/>
                    <w:left w:w="100" w:type="dxa"/>
                    <w:bottom w:w="100" w:type="dxa"/>
                    <w:right w:w="100" w:type="dxa"/>
                  </w:tcMar>
                  <w:vAlign w:val="center"/>
                  <w:hideMark/>
                </w:tcPr>
                <w:p w14:paraId="6C3B88FB" w14:textId="77777777" w:rsidR="00BB4FD0" w:rsidRDefault="00BB4FD0" w:rsidP="00BB4FD0">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3 </w:t>
                  </w:r>
                  <w:proofErr w:type="spellStart"/>
                  <w:r>
                    <w:rPr>
                      <w:rStyle w:val="label"/>
                      <w:rFonts w:ascii="Arial Narrow" w:eastAsia="Times New Roman" w:hAnsi="Arial Narrow"/>
                      <w:b/>
                      <w:bCs/>
                      <w:color w:val="000000"/>
                      <w:sz w:val="13"/>
                      <w:szCs w:val="13"/>
                    </w:rPr>
                    <w:t>month</w:t>
                  </w:r>
                  <w:proofErr w:type="spellEnd"/>
                  <w:r>
                    <w:rPr>
                      <w:rStyle w:val="label"/>
                      <w:rFonts w:ascii="Arial Narrow" w:eastAsia="Times New Roman" w:hAnsi="Arial Narrow"/>
                      <w:b/>
                      <w:bCs/>
                      <w:color w:val="000000"/>
                      <w:sz w:val="13"/>
                      <w:szCs w:val="13"/>
                    </w:rPr>
                    <w:t xml:space="preserve"> </w:t>
                  </w:r>
                  <w:proofErr w:type="spellStart"/>
                  <w:r>
                    <w:rPr>
                      <w:rStyle w:val="label"/>
                      <w:rFonts w:ascii="Arial Narrow" w:eastAsia="Times New Roman" w:hAnsi="Arial Narrow"/>
                      <w:b/>
                      <w:bCs/>
                      <w:color w:val="000000"/>
                      <w:sz w:val="13"/>
                      <w:szCs w:val="13"/>
                    </w:rPr>
                    <w:t>survival</w:t>
                  </w:r>
                  <w:proofErr w:type="spellEnd"/>
                  <w:r>
                    <w:rPr>
                      <w:rStyle w:val="label"/>
                      <w:rFonts w:ascii="Arial Narrow" w:eastAsia="Times New Roman" w:hAnsi="Arial Narrow"/>
                      <w:b/>
                      <w:bCs/>
                      <w:color w:val="000000"/>
                      <w:sz w:val="13"/>
                      <w:szCs w:val="13"/>
                    </w:rPr>
                    <w:t>-ICU-ROX</w:t>
                  </w:r>
                </w:p>
              </w:tc>
            </w:tr>
            <w:tr w:rsidR="00BB4FD0" w14:paraId="6DDC6927" w14:textId="77777777" w:rsidTr="00F83591">
              <w:trPr>
                <w:gridAfter w:val="1"/>
                <w:wAfter w:w="245" w:type="pct"/>
                <w:cantSplit/>
                <w:trHeight w:val="783"/>
              </w:trPr>
              <w:tc>
                <w:tcPr>
                  <w:tcW w:w="558" w:type="pct"/>
                  <w:tcBorders>
                    <w:top w:val="single" w:sz="6" w:space="0" w:color="000000"/>
                    <w:left w:val="single" w:sz="6" w:space="0" w:color="000000"/>
                    <w:bottom w:val="single" w:sz="6" w:space="0" w:color="000000"/>
                    <w:right w:val="single" w:sz="6" w:space="0" w:color="000000"/>
                  </w:tcBorders>
                  <w:hideMark/>
                </w:tcPr>
                <w:p w14:paraId="6520A23A"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2FFC6C54" w14:textId="77777777" w:rsidR="00BB4FD0" w:rsidRDefault="00BB4FD0" w:rsidP="00BB4FD0">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trials</w:t>
                  </w:r>
                  <w:proofErr w:type="spellEnd"/>
                  <w:r>
                    <w:rPr>
                      <w:rFonts w:ascii="Arial Narrow" w:eastAsia="Times New Roman" w:hAnsi="Arial Narrow"/>
                      <w:sz w:val="13"/>
                      <w:szCs w:val="13"/>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01D4A384"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49/86 (57.0%) </w:t>
                  </w:r>
                </w:p>
              </w:tc>
              <w:tc>
                <w:tcPr>
                  <w:tcW w:w="524" w:type="pct"/>
                  <w:tcBorders>
                    <w:top w:val="single" w:sz="6" w:space="0" w:color="000000"/>
                    <w:left w:val="single" w:sz="6" w:space="0" w:color="000000"/>
                    <w:bottom w:val="single" w:sz="6" w:space="0" w:color="000000"/>
                    <w:right w:val="single" w:sz="6" w:space="0" w:color="000000"/>
                  </w:tcBorders>
                  <w:hideMark/>
                </w:tcPr>
                <w:p w14:paraId="5591BFFD" w14:textId="77777777" w:rsidR="00BB4FD0" w:rsidRDefault="00BB4FD0" w:rsidP="00BB4FD0">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32/78 (41.0%) </w:t>
                  </w:r>
                </w:p>
              </w:tc>
              <w:tc>
                <w:tcPr>
                  <w:tcW w:w="405" w:type="pct"/>
                  <w:tcBorders>
                    <w:top w:val="single" w:sz="6" w:space="0" w:color="000000"/>
                    <w:left w:val="single" w:sz="6" w:space="0" w:color="000000"/>
                    <w:bottom w:val="single" w:sz="6" w:space="0" w:color="000000"/>
                    <w:right w:val="single" w:sz="6" w:space="0" w:color="000000"/>
                  </w:tcBorders>
                  <w:hideMark/>
                </w:tcPr>
                <w:p w14:paraId="537F403A" w14:textId="77777777" w:rsidR="00BB4FD0" w:rsidRDefault="00BB4FD0" w:rsidP="00BB4FD0">
                  <w:pPr>
                    <w:jc w:val="center"/>
                    <w:rPr>
                      <w:rFonts w:ascii="Arial Narrow" w:eastAsia="Times New Roman" w:hAnsi="Arial Narrow"/>
                      <w:sz w:val="13"/>
                      <w:szCs w:val="13"/>
                    </w:rPr>
                  </w:pPr>
                  <w:r>
                    <w:rPr>
                      <w:rStyle w:val="block"/>
                      <w:rFonts w:ascii="Arial Narrow" w:eastAsia="Times New Roman" w:hAnsi="Arial Narrow"/>
                      <w:b/>
                      <w:bCs/>
                      <w:sz w:val="13"/>
                      <w:szCs w:val="13"/>
                    </w:rPr>
                    <w:t>RR 1.39</w:t>
                  </w:r>
                  <w:r>
                    <w:rPr>
                      <w:rFonts w:ascii="Arial Narrow" w:eastAsia="Times New Roman" w:hAnsi="Arial Narrow"/>
                      <w:sz w:val="13"/>
                      <w:szCs w:val="13"/>
                    </w:rPr>
                    <w:br/>
                  </w:r>
                  <w:r>
                    <w:rPr>
                      <w:rStyle w:val="cell"/>
                      <w:rFonts w:ascii="Arial Narrow" w:eastAsia="Times New Roman" w:hAnsi="Arial Narrow"/>
                      <w:sz w:val="13"/>
                      <w:szCs w:val="13"/>
                    </w:rPr>
                    <w:t>(1.01 to 1.92)</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53CFD074"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b/>
                      <w:bCs/>
                      <w:sz w:val="13"/>
                      <w:szCs w:val="13"/>
                    </w:rPr>
                    <w:t>160 more per 1,000</w:t>
                  </w:r>
                  <w:r>
                    <w:rPr>
                      <w:rFonts w:ascii="Arial Narrow" w:eastAsia="Times New Roman" w:hAnsi="Arial Narrow"/>
                      <w:sz w:val="13"/>
                      <w:szCs w:val="13"/>
                    </w:rPr>
                    <w:br/>
                    <w:t xml:space="preserve">(from 4 more to 377 more) </w:t>
                  </w:r>
                </w:p>
              </w:tc>
              <w:tc>
                <w:tcPr>
                  <w:tcW w:w="732" w:type="pct"/>
                  <w:tcBorders>
                    <w:top w:val="single" w:sz="6" w:space="0" w:color="000000"/>
                    <w:left w:val="single" w:sz="6" w:space="0" w:color="000000"/>
                    <w:bottom w:val="single" w:sz="6" w:space="0" w:color="000000"/>
                    <w:right w:val="single" w:sz="6" w:space="0" w:color="000000"/>
                  </w:tcBorders>
                  <w:hideMark/>
                </w:tcPr>
                <w:p w14:paraId="667CD4BF" w14:textId="6399A45C" w:rsidR="00BB4FD0" w:rsidRDefault="00BB4FD0" w:rsidP="00BB4FD0">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29" w:type="pct"/>
                  <w:gridSpan w:val="2"/>
                  <w:tcBorders>
                    <w:top w:val="single" w:sz="6" w:space="0" w:color="000000"/>
                    <w:left w:val="single" w:sz="6" w:space="0" w:color="000000"/>
                    <w:bottom w:val="single" w:sz="6" w:space="0" w:color="000000"/>
                    <w:right w:val="single" w:sz="6" w:space="0" w:color="000000"/>
                  </w:tcBorders>
                  <w:hideMark/>
                </w:tcPr>
                <w:p w14:paraId="5DFA7EB9"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CRITICAL</w:t>
                  </w:r>
                </w:p>
              </w:tc>
            </w:tr>
            <w:tr w:rsidR="00BB4FD0" w14:paraId="0EAB41DE" w14:textId="77777777" w:rsidTr="00F83591">
              <w:trPr>
                <w:cantSplit/>
                <w:trHeight w:val="305"/>
              </w:trPr>
              <w:tc>
                <w:tcPr>
                  <w:tcW w:w="5000" w:type="pct"/>
                  <w:gridSpan w:val="11"/>
                  <w:shd w:val="clear" w:color="auto" w:fill="FFFFFF"/>
                  <w:tcMar>
                    <w:top w:w="75" w:type="dxa"/>
                    <w:left w:w="100" w:type="dxa"/>
                    <w:bottom w:w="100" w:type="dxa"/>
                    <w:right w:w="100" w:type="dxa"/>
                  </w:tcMar>
                  <w:vAlign w:val="center"/>
                  <w:hideMark/>
                </w:tcPr>
                <w:p w14:paraId="3BBAF73A" w14:textId="77777777" w:rsidR="00BB4FD0" w:rsidRDefault="00BB4FD0" w:rsidP="00BB4FD0">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Discharge to </w:t>
                  </w:r>
                  <w:proofErr w:type="spellStart"/>
                  <w:r>
                    <w:rPr>
                      <w:rStyle w:val="label"/>
                      <w:rFonts w:ascii="Arial Narrow" w:eastAsia="Times New Roman" w:hAnsi="Arial Narrow"/>
                      <w:b/>
                      <w:bCs/>
                      <w:color w:val="000000"/>
                      <w:sz w:val="13"/>
                      <w:szCs w:val="13"/>
                    </w:rPr>
                    <w:t>home</w:t>
                  </w:r>
                  <w:proofErr w:type="spellEnd"/>
                  <w:r>
                    <w:rPr>
                      <w:rStyle w:val="label"/>
                      <w:rFonts w:ascii="Arial Narrow" w:eastAsia="Times New Roman" w:hAnsi="Arial Narrow"/>
                      <w:b/>
                      <w:bCs/>
                      <w:color w:val="000000"/>
                      <w:sz w:val="13"/>
                      <w:szCs w:val="13"/>
                    </w:rPr>
                    <w:t xml:space="preserve">-Young </w:t>
                  </w:r>
                </w:p>
              </w:tc>
            </w:tr>
            <w:tr w:rsidR="00BB4FD0" w14:paraId="49A7ADC6" w14:textId="77777777" w:rsidTr="00F83591">
              <w:trPr>
                <w:gridAfter w:val="1"/>
                <w:wAfter w:w="245" w:type="pct"/>
                <w:cantSplit/>
                <w:trHeight w:val="796"/>
              </w:trPr>
              <w:tc>
                <w:tcPr>
                  <w:tcW w:w="558" w:type="pct"/>
                  <w:tcBorders>
                    <w:top w:val="single" w:sz="6" w:space="0" w:color="000000"/>
                    <w:left w:val="single" w:sz="6" w:space="0" w:color="000000"/>
                    <w:bottom w:val="single" w:sz="6" w:space="0" w:color="000000"/>
                    <w:right w:val="single" w:sz="6" w:space="0" w:color="000000"/>
                  </w:tcBorders>
                  <w:hideMark/>
                </w:tcPr>
                <w:p w14:paraId="5B0A944C"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3FE81FB8" w14:textId="77777777" w:rsidR="00BB4FD0" w:rsidRDefault="00BB4FD0" w:rsidP="00BB4FD0">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trials</w:t>
                  </w:r>
                  <w:proofErr w:type="spellEnd"/>
                  <w:r>
                    <w:rPr>
                      <w:rFonts w:ascii="Arial Narrow" w:eastAsia="Times New Roman" w:hAnsi="Arial Narrow"/>
                      <w:sz w:val="13"/>
                      <w:szCs w:val="13"/>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4715B634"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2/8 (25.0%) </w:t>
                  </w:r>
                </w:p>
              </w:tc>
              <w:tc>
                <w:tcPr>
                  <w:tcW w:w="524" w:type="pct"/>
                  <w:tcBorders>
                    <w:top w:val="single" w:sz="6" w:space="0" w:color="000000"/>
                    <w:left w:val="single" w:sz="6" w:space="0" w:color="000000"/>
                    <w:bottom w:val="single" w:sz="6" w:space="0" w:color="000000"/>
                    <w:right w:val="single" w:sz="6" w:space="0" w:color="000000"/>
                  </w:tcBorders>
                  <w:hideMark/>
                </w:tcPr>
                <w:p w14:paraId="26FBB2FF" w14:textId="77777777" w:rsidR="00BB4FD0" w:rsidRDefault="00BB4FD0" w:rsidP="00BB4FD0">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4/9 (44.4%) </w:t>
                  </w:r>
                </w:p>
              </w:tc>
              <w:tc>
                <w:tcPr>
                  <w:tcW w:w="405" w:type="pct"/>
                  <w:tcBorders>
                    <w:top w:val="single" w:sz="6" w:space="0" w:color="000000"/>
                    <w:left w:val="single" w:sz="6" w:space="0" w:color="000000"/>
                    <w:bottom w:val="single" w:sz="6" w:space="0" w:color="000000"/>
                    <w:right w:val="single" w:sz="6" w:space="0" w:color="000000"/>
                  </w:tcBorders>
                  <w:hideMark/>
                </w:tcPr>
                <w:p w14:paraId="210EACC4" w14:textId="77777777" w:rsidR="00BB4FD0" w:rsidRDefault="00BB4FD0" w:rsidP="00BB4FD0">
                  <w:pPr>
                    <w:jc w:val="center"/>
                    <w:rPr>
                      <w:rFonts w:ascii="Arial Narrow" w:eastAsia="Times New Roman" w:hAnsi="Arial Narrow"/>
                      <w:sz w:val="13"/>
                      <w:szCs w:val="13"/>
                    </w:rPr>
                  </w:pPr>
                  <w:r>
                    <w:rPr>
                      <w:rStyle w:val="block"/>
                      <w:rFonts w:ascii="Arial Narrow" w:eastAsia="Times New Roman" w:hAnsi="Arial Narrow"/>
                      <w:b/>
                      <w:bCs/>
                      <w:sz w:val="13"/>
                      <w:szCs w:val="13"/>
                    </w:rPr>
                    <w:t>RR 0.56</w:t>
                  </w:r>
                  <w:r>
                    <w:rPr>
                      <w:rFonts w:ascii="Arial Narrow" w:eastAsia="Times New Roman" w:hAnsi="Arial Narrow"/>
                      <w:sz w:val="13"/>
                      <w:szCs w:val="13"/>
                    </w:rPr>
                    <w:br/>
                  </w:r>
                  <w:r>
                    <w:rPr>
                      <w:rStyle w:val="cell"/>
                      <w:rFonts w:ascii="Arial Narrow" w:eastAsia="Times New Roman" w:hAnsi="Arial Narrow"/>
                      <w:sz w:val="13"/>
                      <w:szCs w:val="13"/>
                    </w:rPr>
                    <w:t>(0.14 to 2.29)</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4B06A3A9"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b/>
                      <w:bCs/>
                      <w:sz w:val="13"/>
                      <w:szCs w:val="13"/>
                    </w:rPr>
                    <w:t xml:space="preserve">196 </w:t>
                  </w:r>
                  <w:proofErr w:type="spellStart"/>
                  <w:r>
                    <w:rPr>
                      <w:rFonts w:ascii="Arial Narrow" w:eastAsia="Times New Roman" w:hAnsi="Arial Narrow"/>
                      <w:b/>
                      <w:bCs/>
                      <w:sz w:val="13"/>
                      <w:szCs w:val="13"/>
                    </w:rPr>
                    <w:t>fewer</w:t>
                  </w:r>
                  <w:proofErr w:type="spellEnd"/>
                  <w:r>
                    <w:rPr>
                      <w:rFonts w:ascii="Arial Narrow" w:eastAsia="Times New Roman" w:hAnsi="Arial Narrow"/>
                      <w:b/>
                      <w:bCs/>
                      <w:sz w:val="13"/>
                      <w:szCs w:val="13"/>
                    </w:rPr>
                    <w:t xml:space="preserve"> per 1,000</w:t>
                  </w:r>
                  <w:r>
                    <w:rPr>
                      <w:rFonts w:ascii="Arial Narrow" w:eastAsia="Times New Roman" w:hAnsi="Arial Narrow"/>
                      <w:sz w:val="13"/>
                      <w:szCs w:val="13"/>
                    </w:rPr>
                    <w:br/>
                    <w:t xml:space="preserve">(from 382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to 573 more) </w:t>
                  </w:r>
                </w:p>
              </w:tc>
              <w:tc>
                <w:tcPr>
                  <w:tcW w:w="732" w:type="pct"/>
                  <w:tcBorders>
                    <w:top w:val="single" w:sz="6" w:space="0" w:color="000000"/>
                    <w:left w:val="single" w:sz="6" w:space="0" w:color="000000"/>
                    <w:bottom w:val="single" w:sz="6" w:space="0" w:color="000000"/>
                    <w:right w:val="single" w:sz="6" w:space="0" w:color="000000"/>
                  </w:tcBorders>
                  <w:hideMark/>
                </w:tcPr>
                <w:p w14:paraId="58C156AC" w14:textId="77777777" w:rsidR="00BB4FD0" w:rsidRDefault="00BB4FD0" w:rsidP="00BB4FD0">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29" w:type="pct"/>
                  <w:gridSpan w:val="2"/>
                  <w:tcBorders>
                    <w:top w:val="single" w:sz="6" w:space="0" w:color="000000"/>
                    <w:left w:val="single" w:sz="6" w:space="0" w:color="000000"/>
                    <w:bottom w:val="single" w:sz="6" w:space="0" w:color="000000"/>
                    <w:right w:val="single" w:sz="6" w:space="0" w:color="000000"/>
                  </w:tcBorders>
                  <w:hideMark/>
                </w:tcPr>
                <w:p w14:paraId="0C26DAE1"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CRITICAL</w:t>
                  </w:r>
                </w:p>
              </w:tc>
            </w:tr>
            <w:tr w:rsidR="00BB4FD0" w14:paraId="7B5301E4" w14:textId="77777777" w:rsidTr="00F83591">
              <w:trPr>
                <w:cantSplit/>
                <w:trHeight w:val="305"/>
              </w:trPr>
              <w:tc>
                <w:tcPr>
                  <w:tcW w:w="5000" w:type="pct"/>
                  <w:gridSpan w:val="11"/>
                  <w:shd w:val="clear" w:color="auto" w:fill="FFFFFF"/>
                  <w:tcMar>
                    <w:top w:w="75" w:type="dxa"/>
                    <w:left w:w="100" w:type="dxa"/>
                    <w:bottom w:w="100" w:type="dxa"/>
                    <w:right w:w="100" w:type="dxa"/>
                  </w:tcMar>
                  <w:vAlign w:val="center"/>
                  <w:hideMark/>
                </w:tcPr>
                <w:p w14:paraId="40C25C12" w14:textId="77777777" w:rsidR="00BB4FD0" w:rsidRDefault="00BB4FD0" w:rsidP="00BB4FD0">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CPC 1-2 at 6 </w:t>
                  </w:r>
                  <w:proofErr w:type="spellStart"/>
                  <w:r>
                    <w:rPr>
                      <w:rStyle w:val="label"/>
                      <w:rFonts w:ascii="Arial Narrow" w:eastAsia="Times New Roman" w:hAnsi="Arial Narrow"/>
                      <w:b/>
                      <w:bCs/>
                      <w:color w:val="000000"/>
                      <w:sz w:val="13"/>
                      <w:szCs w:val="13"/>
                    </w:rPr>
                    <w:t>months-Jakkula</w:t>
                  </w:r>
                  <w:proofErr w:type="spellEnd"/>
                </w:p>
              </w:tc>
            </w:tr>
            <w:tr w:rsidR="00BB4FD0" w14:paraId="52C128B5" w14:textId="77777777" w:rsidTr="00F83591">
              <w:trPr>
                <w:gridAfter w:val="1"/>
                <w:wAfter w:w="245" w:type="pct"/>
                <w:cantSplit/>
                <w:trHeight w:val="783"/>
              </w:trPr>
              <w:tc>
                <w:tcPr>
                  <w:tcW w:w="558" w:type="pct"/>
                  <w:tcBorders>
                    <w:top w:val="single" w:sz="6" w:space="0" w:color="000000"/>
                    <w:left w:val="single" w:sz="6" w:space="0" w:color="000000"/>
                    <w:bottom w:val="single" w:sz="6" w:space="0" w:color="000000"/>
                    <w:right w:val="single" w:sz="6" w:space="0" w:color="000000"/>
                  </w:tcBorders>
                  <w:hideMark/>
                </w:tcPr>
                <w:p w14:paraId="3A7C827D"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55A6B639" w14:textId="77777777" w:rsidR="00BB4FD0" w:rsidRDefault="00BB4FD0" w:rsidP="00BB4FD0">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trials</w:t>
                  </w:r>
                  <w:proofErr w:type="spellEnd"/>
                  <w:r>
                    <w:rPr>
                      <w:rFonts w:ascii="Arial Narrow" w:eastAsia="Times New Roman" w:hAnsi="Arial Narrow"/>
                      <w:sz w:val="13"/>
                      <w:szCs w:val="13"/>
                    </w:rPr>
                    <w:t xml:space="preserve"> </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77A9871D"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42/61 (68.9%) </w:t>
                  </w:r>
                </w:p>
              </w:tc>
              <w:tc>
                <w:tcPr>
                  <w:tcW w:w="524" w:type="pct"/>
                  <w:tcBorders>
                    <w:top w:val="single" w:sz="6" w:space="0" w:color="000000"/>
                    <w:left w:val="single" w:sz="6" w:space="0" w:color="000000"/>
                    <w:bottom w:val="single" w:sz="6" w:space="0" w:color="000000"/>
                    <w:right w:val="single" w:sz="6" w:space="0" w:color="000000"/>
                  </w:tcBorders>
                  <w:hideMark/>
                </w:tcPr>
                <w:p w14:paraId="3DB15EA5" w14:textId="77777777" w:rsidR="00BB4FD0" w:rsidRDefault="00BB4FD0" w:rsidP="00BB4FD0">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36/59 (61.0%) </w:t>
                  </w:r>
                </w:p>
              </w:tc>
              <w:tc>
                <w:tcPr>
                  <w:tcW w:w="405" w:type="pct"/>
                  <w:tcBorders>
                    <w:top w:val="single" w:sz="6" w:space="0" w:color="000000"/>
                    <w:left w:val="single" w:sz="6" w:space="0" w:color="000000"/>
                    <w:bottom w:val="single" w:sz="6" w:space="0" w:color="000000"/>
                    <w:right w:val="single" w:sz="6" w:space="0" w:color="000000"/>
                  </w:tcBorders>
                  <w:hideMark/>
                </w:tcPr>
                <w:p w14:paraId="5888A433" w14:textId="77777777" w:rsidR="00BB4FD0" w:rsidRDefault="00BB4FD0" w:rsidP="00BB4FD0">
                  <w:pPr>
                    <w:jc w:val="center"/>
                    <w:rPr>
                      <w:rFonts w:ascii="Arial Narrow" w:eastAsia="Times New Roman" w:hAnsi="Arial Narrow"/>
                      <w:sz w:val="13"/>
                      <w:szCs w:val="13"/>
                    </w:rPr>
                  </w:pPr>
                  <w:r>
                    <w:rPr>
                      <w:rStyle w:val="block"/>
                      <w:rFonts w:ascii="Arial Narrow" w:eastAsia="Times New Roman" w:hAnsi="Arial Narrow"/>
                      <w:b/>
                      <w:bCs/>
                      <w:sz w:val="13"/>
                      <w:szCs w:val="13"/>
                    </w:rPr>
                    <w:t>RR 1.13</w:t>
                  </w:r>
                  <w:r>
                    <w:rPr>
                      <w:rFonts w:ascii="Arial Narrow" w:eastAsia="Times New Roman" w:hAnsi="Arial Narrow"/>
                      <w:sz w:val="13"/>
                      <w:szCs w:val="13"/>
                    </w:rPr>
                    <w:br/>
                  </w:r>
                  <w:r>
                    <w:rPr>
                      <w:rStyle w:val="cell"/>
                      <w:rFonts w:ascii="Arial Narrow" w:eastAsia="Times New Roman" w:hAnsi="Arial Narrow"/>
                      <w:sz w:val="13"/>
                      <w:szCs w:val="13"/>
                    </w:rPr>
                    <w:t>(0.87 to 1.47)</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0D102494"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b/>
                      <w:bCs/>
                      <w:sz w:val="13"/>
                      <w:szCs w:val="13"/>
                    </w:rPr>
                    <w:t>79 more per 1,000</w:t>
                  </w:r>
                  <w:r>
                    <w:rPr>
                      <w:rFonts w:ascii="Arial Narrow" w:eastAsia="Times New Roman" w:hAnsi="Arial Narrow"/>
                      <w:sz w:val="13"/>
                      <w:szCs w:val="13"/>
                    </w:rPr>
                    <w:br/>
                    <w:t xml:space="preserve">(from 79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to 287 more) </w:t>
                  </w:r>
                </w:p>
              </w:tc>
              <w:tc>
                <w:tcPr>
                  <w:tcW w:w="732" w:type="pct"/>
                  <w:tcBorders>
                    <w:top w:val="single" w:sz="6" w:space="0" w:color="000000"/>
                    <w:left w:val="single" w:sz="6" w:space="0" w:color="000000"/>
                    <w:bottom w:val="single" w:sz="6" w:space="0" w:color="000000"/>
                    <w:right w:val="single" w:sz="6" w:space="0" w:color="000000"/>
                  </w:tcBorders>
                  <w:hideMark/>
                </w:tcPr>
                <w:p w14:paraId="3F57F265" w14:textId="0BA9760D" w:rsidR="00BB4FD0" w:rsidRDefault="00BB4FD0" w:rsidP="00BB4FD0">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t xml:space="preserve">LOW </w:t>
                  </w:r>
                </w:p>
              </w:tc>
              <w:tc>
                <w:tcPr>
                  <w:tcW w:w="529" w:type="pct"/>
                  <w:gridSpan w:val="2"/>
                  <w:tcBorders>
                    <w:top w:val="single" w:sz="6" w:space="0" w:color="000000"/>
                    <w:left w:val="single" w:sz="6" w:space="0" w:color="000000"/>
                    <w:bottom w:val="single" w:sz="6" w:space="0" w:color="000000"/>
                    <w:right w:val="single" w:sz="6" w:space="0" w:color="000000"/>
                  </w:tcBorders>
                  <w:hideMark/>
                </w:tcPr>
                <w:p w14:paraId="2BFAE21C"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CRITICAL</w:t>
                  </w:r>
                </w:p>
              </w:tc>
            </w:tr>
            <w:tr w:rsidR="00BB4FD0" w14:paraId="55AF804B" w14:textId="77777777" w:rsidTr="00F83591">
              <w:trPr>
                <w:cantSplit/>
                <w:trHeight w:val="318"/>
              </w:trPr>
              <w:tc>
                <w:tcPr>
                  <w:tcW w:w="5000" w:type="pct"/>
                  <w:gridSpan w:val="11"/>
                  <w:shd w:val="clear" w:color="auto" w:fill="FFFFFF"/>
                  <w:tcMar>
                    <w:top w:w="75" w:type="dxa"/>
                    <w:left w:w="100" w:type="dxa"/>
                    <w:bottom w:w="100" w:type="dxa"/>
                    <w:right w:w="100" w:type="dxa"/>
                  </w:tcMar>
                  <w:vAlign w:val="center"/>
                  <w:hideMark/>
                </w:tcPr>
                <w:p w14:paraId="57438E1B" w14:textId="77777777" w:rsidR="00BB4FD0" w:rsidRDefault="00BB4FD0" w:rsidP="00BB4FD0">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Favorable GOSE at 6 </w:t>
                  </w:r>
                  <w:proofErr w:type="spellStart"/>
                  <w:r>
                    <w:rPr>
                      <w:rStyle w:val="label"/>
                      <w:rFonts w:ascii="Arial Narrow" w:eastAsia="Times New Roman" w:hAnsi="Arial Narrow"/>
                      <w:b/>
                      <w:bCs/>
                      <w:color w:val="000000"/>
                      <w:sz w:val="13"/>
                      <w:szCs w:val="13"/>
                    </w:rPr>
                    <w:t>months</w:t>
                  </w:r>
                  <w:proofErr w:type="spellEnd"/>
                  <w:r>
                    <w:rPr>
                      <w:rStyle w:val="label"/>
                      <w:rFonts w:ascii="Arial Narrow" w:eastAsia="Times New Roman" w:hAnsi="Arial Narrow"/>
                      <w:b/>
                      <w:bCs/>
                      <w:color w:val="000000"/>
                      <w:sz w:val="13"/>
                      <w:szCs w:val="13"/>
                    </w:rPr>
                    <w:t>-ICU-ROX</w:t>
                  </w:r>
                </w:p>
              </w:tc>
            </w:tr>
            <w:tr w:rsidR="00BB4FD0" w14:paraId="681B89F2" w14:textId="77777777" w:rsidTr="00F83591">
              <w:trPr>
                <w:gridAfter w:val="1"/>
                <w:wAfter w:w="245" w:type="pct"/>
                <w:cantSplit/>
                <w:trHeight w:val="943"/>
              </w:trPr>
              <w:tc>
                <w:tcPr>
                  <w:tcW w:w="558" w:type="pct"/>
                  <w:tcBorders>
                    <w:top w:val="single" w:sz="6" w:space="0" w:color="000000"/>
                    <w:left w:val="single" w:sz="6" w:space="0" w:color="000000"/>
                    <w:bottom w:val="single" w:sz="6" w:space="0" w:color="000000"/>
                    <w:right w:val="single" w:sz="6" w:space="0" w:color="000000"/>
                  </w:tcBorders>
                  <w:hideMark/>
                </w:tcPr>
                <w:p w14:paraId="48D998F5"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5ECDD56E" w14:textId="77777777" w:rsidR="00BB4FD0" w:rsidRDefault="00BB4FD0" w:rsidP="00BB4FD0">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trials</w:t>
                  </w:r>
                  <w:proofErr w:type="spellEnd"/>
                  <w:r>
                    <w:rPr>
                      <w:rFonts w:ascii="Arial Narrow" w:eastAsia="Times New Roman" w:hAnsi="Arial Narrow"/>
                      <w:sz w:val="13"/>
                      <w:szCs w:val="13"/>
                    </w:rPr>
                    <w:t xml:space="preserve"> </w:t>
                  </w:r>
                </w:p>
              </w:tc>
              <w:tc>
                <w:tcPr>
                  <w:tcW w:w="585" w:type="pct"/>
                  <w:tcBorders>
                    <w:top w:val="single" w:sz="6" w:space="0" w:color="000000"/>
                    <w:left w:val="single" w:sz="6" w:space="0" w:color="000000"/>
                    <w:bottom w:val="single" w:sz="6" w:space="0" w:color="000000"/>
                    <w:right w:val="single" w:sz="6" w:space="0" w:color="000000"/>
                  </w:tcBorders>
                  <w:hideMark/>
                </w:tcPr>
                <w:p w14:paraId="1981C26B"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 xml:space="preserve">35/78 (44.9%) </w:t>
                  </w:r>
                </w:p>
              </w:tc>
              <w:tc>
                <w:tcPr>
                  <w:tcW w:w="539" w:type="pct"/>
                  <w:gridSpan w:val="2"/>
                  <w:tcBorders>
                    <w:top w:val="single" w:sz="6" w:space="0" w:color="000000"/>
                    <w:left w:val="single" w:sz="6" w:space="0" w:color="000000"/>
                    <w:bottom w:val="single" w:sz="6" w:space="0" w:color="000000"/>
                    <w:right w:val="single" w:sz="6" w:space="0" w:color="000000"/>
                  </w:tcBorders>
                  <w:hideMark/>
                </w:tcPr>
                <w:p w14:paraId="220C341A" w14:textId="77777777" w:rsidR="00BB4FD0" w:rsidRDefault="00BB4FD0" w:rsidP="00BB4FD0">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23/72 (31.9%) </w:t>
                  </w:r>
                </w:p>
              </w:tc>
              <w:tc>
                <w:tcPr>
                  <w:tcW w:w="405" w:type="pct"/>
                  <w:tcBorders>
                    <w:top w:val="single" w:sz="6" w:space="0" w:color="000000"/>
                    <w:left w:val="single" w:sz="6" w:space="0" w:color="000000"/>
                    <w:bottom w:val="single" w:sz="6" w:space="0" w:color="000000"/>
                    <w:right w:val="single" w:sz="6" w:space="0" w:color="000000"/>
                  </w:tcBorders>
                  <w:hideMark/>
                </w:tcPr>
                <w:p w14:paraId="493789E2" w14:textId="77777777" w:rsidR="00BB4FD0" w:rsidRDefault="00BB4FD0" w:rsidP="00BB4FD0">
                  <w:pPr>
                    <w:jc w:val="center"/>
                    <w:rPr>
                      <w:rFonts w:ascii="Arial Narrow" w:eastAsia="Times New Roman" w:hAnsi="Arial Narrow"/>
                      <w:sz w:val="13"/>
                      <w:szCs w:val="13"/>
                    </w:rPr>
                  </w:pPr>
                  <w:r>
                    <w:rPr>
                      <w:rStyle w:val="block"/>
                      <w:rFonts w:ascii="Arial Narrow" w:eastAsia="Times New Roman" w:hAnsi="Arial Narrow"/>
                      <w:b/>
                      <w:bCs/>
                      <w:sz w:val="13"/>
                      <w:szCs w:val="13"/>
                    </w:rPr>
                    <w:t>RR 1.40</w:t>
                  </w:r>
                  <w:r>
                    <w:rPr>
                      <w:rFonts w:ascii="Arial Narrow" w:eastAsia="Times New Roman" w:hAnsi="Arial Narrow"/>
                      <w:sz w:val="13"/>
                      <w:szCs w:val="13"/>
                    </w:rPr>
                    <w:br/>
                  </w:r>
                  <w:r>
                    <w:rPr>
                      <w:rStyle w:val="cell"/>
                      <w:rFonts w:ascii="Arial Narrow" w:eastAsia="Times New Roman" w:hAnsi="Arial Narrow"/>
                      <w:sz w:val="13"/>
                      <w:szCs w:val="13"/>
                    </w:rPr>
                    <w:t>(0.93 to 2.13)</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72B18508"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b/>
                      <w:bCs/>
                      <w:sz w:val="13"/>
                      <w:szCs w:val="13"/>
                    </w:rPr>
                    <w:t>128 more per 1,000</w:t>
                  </w:r>
                  <w:r>
                    <w:rPr>
                      <w:rFonts w:ascii="Arial Narrow" w:eastAsia="Times New Roman" w:hAnsi="Arial Narrow"/>
                      <w:sz w:val="13"/>
                      <w:szCs w:val="13"/>
                    </w:rPr>
                    <w:br/>
                    <w:t xml:space="preserve">(from 22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to 361 more) </w:t>
                  </w:r>
                </w:p>
              </w:tc>
              <w:tc>
                <w:tcPr>
                  <w:tcW w:w="732" w:type="pct"/>
                  <w:tcBorders>
                    <w:top w:val="single" w:sz="6" w:space="0" w:color="000000"/>
                    <w:left w:val="single" w:sz="6" w:space="0" w:color="000000"/>
                    <w:bottom w:val="single" w:sz="6" w:space="0" w:color="000000"/>
                    <w:right w:val="single" w:sz="6" w:space="0" w:color="000000"/>
                  </w:tcBorders>
                  <w:hideMark/>
                </w:tcPr>
                <w:p w14:paraId="1F496D42" w14:textId="77777777" w:rsidR="00BB4FD0" w:rsidRDefault="00BB4FD0" w:rsidP="00BB4FD0">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29" w:type="pct"/>
                  <w:gridSpan w:val="2"/>
                  <w:tcBorders>
                    <w:top w:val="single" w:sz="6" w:space="0" w:color="000000"/>
                    <w:left w:val="single" w:sz="6" w:space="0" w:color="000000"/>
                    <w:bottom w:val="single" w:sz="6" w:space="0" w:color="000000"/>
                    <w:right w:val="single" w:sz="6" w:space="0" w:color="000000"/>
                  </w:tcBorders>
                  <w:hideMark/>
                </w:tcPr>
                <w:p w14:paraId="5EF13F70" w14:textId="77777777" w:rsidR="00BB4FD0" w:rsidRDefault="00BB4FD0" w:rsidP="00BB4FD0">
                  <w:pPr>
                    <w:jc w:val="center"/>
                    <w:rPr>
                      <w:rFonts w:ascii="Arial Narrow" w:eastAsia="Times New Roman" w:hAnsi="Arial Narrow"/>
                      <w:sz w:val="13"/>
                      <w:szCs w:val="13"/>
                    </w:rPr>
                  </w:pPr>
                  <w:r>
                    <w:rPr>
                      <w:rFonts w:ascii="Arial Narrow" w:eastAsia="Times New Roman" w:hAnsi="Arial Narrow"/>
                      <w:sz w:val="13"/>
                      <w:szCs w:val="13"/>
                    </w:rPr>
                    <w:t>CRITICAL</w:t>
                  </w:r>
                </w:p>
              </w:tc>
            </w:tr>
          </w:tbl>
          <w:p w14:paraId="487486E8" w14:textId="77777777" w:rsidR="00BB4FD0" w:rsidRDefault="00BB4FD0">
            <w:pPr>
              <w:rPr>
                <w:rFonts w:eastAsia="Times New Roman" w:cstheme="minorHAnsi"/>
                <w:sz w:val="16"/>
                <w:szCs w:val="16"/>
                <w:lang w:val="en-US"/>
              </w:rPr>
            </w:pPr>
          </w:p>
          <w:p w14:paraId="3452CF4C" w14:textId="77777777" w:rsidR="00BB4FD0" w:rsidRDefault="00BB4FD0">
            <w:pPr>
              <w:rPr>
                <w:rFonts w:eastAsia="Times New Roman" w:cstheme="minorHAnsi"/>
                <w:sz w:val="16"/>
                <w:szCs w:val="16"/>
                <w:lang w:val="en-US"/>
              </w:rPr>
            </w:pPr>
          </w:p>
          <w:p w14:paraId="6CCADAB5" w14:textId="298563F1" w:rsidR="000526C3" w:rsidRPr="00B067A8" w:rsidRDefault="000526C3" w:rsidP="006729C7">
            <w:pPr>
              <w:divId w:val="1716201253"/>
              <w:rPr>
                <w:rFonts w:ascii="Verdana" w:eastAsia="Times New Roman" w:hAnsi="Verdana"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537E2" w14:textId="4B483172" w:rsidR="003C25B6" w:rsidRDefault="00045AFF">
            <w:pPr>
              <w:divId w:val="1184974627"/>
              <w:rPr>
                <w:rFonts w:ascii="Calibri" w:eastAsia="Times New Roman" w:hAnsi="Calibri" w:cs="Calibri"/>
                <w:sz w:val="16"/>
                <w:szCs w:val="16"/>
                <w:lang w:val="en-US"/>
              </w:rPr>
            </w:pPr>
            <w:r w:rsidRPr="00CD2D3A">
              <w:rPr>
                <w:rFonts w:ascii="Calibri" w:eastAsia="Times New Roman" w:hAnsi="Calibri" w:cs="Calibri"/>
                <w:sz w:val="16"/>
                <w:szCs w:val="16"/>
                <w:lang w:val="en-US"/>
              </w:rPr>
              <w:lastRenderedPageBreak/>
              <w:br/>
            </w:r>
          </w:p>
          <w:p w14:paraId="274F80D3" w14:textId="77777777" w:rsidR="000526C3" w:rsidRPr="003C25B6" w:rsidRDefault="000526C3" w:rsidP="003C25B6">
            <w:pPr>
              <w:rPr>
                <w:rFonts w:ascii="Calibri" w:eastAsia="Times New Roman" w:hAnsi="Calibri" w:cs="Calibri"/>
                <w:sz w:val="16"/>
                <w:szCs w:val="16"/>
                <w:lang w:val="en-US"/>
              </w:rPr>
            </w:pPr>
          </w:p>
        </w:tc>
      </w:tr>
      <w:tr w:rsidR="000526C3" w:rsidRPr="00A96752"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lastRenderedPageBreak/>
              <w:t>How substantial are the undesirable anticipated effects?</w:t>
            </w:r>
          </w:p>
        </w:tc>
      </w:tr>
      <w:tr w:rsidR="000526C3"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3A0E4062" w14:textId="77777777" w:rsidTr="00D65A05">
        <w:trPr>
          <w:divId w:val="1347438940"/>
          <w:trHeight w:val="104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AC1AA" w14:textId="403153BD" w:rsidR="000526C3" w:rsidRPr="00CD2D3A" w:rsidRDefault="00045AFF">
            <w:pPr>
              <w:divId w:val="1732341283"/>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w:t>
            </w:r>
            <w:r w:rsidRPr="00CD2D3A">
              <w:rPr>
                <w:rFonts w:ascii="Calibri" w:eastAsia="Times New Roman" w:hAnsi="Calibri" w:cs="Calibri"/>
                <w:sz w:val="16"/>
                <w:szCs w:val="16"/>
                <w:lang w:val="en-US"/>
              </w:rPr>
              <w:br/>
            </w:r>
            <w:r w:rsidR="005467BC" w:rsidRPr="00CD2D3A">
              <w:rPr>
                <w:rStyle w:val="unchecked-marker"/>
                <w:rFonts w:ascii="Calibri" w:eastAsia="Times New Roman" w:hAnsi="Calibri" w:cs="Calibri"/>
                <w:sz w:val="16"/>
                <w:szCs w:val="16"/>
                <w:lang w:val="en-US"/>
              </w:rPr>
              <w:t>○</w:t>
            </w:r>
            <w:r w:rsidR="005467BC">
              <w:rPr>
                <w:rStyle w:val="unchecked-marker"/>
                <w:rFonts w:ascii="Calibri" w:eastAsia="Times New Roman" w:hAnsi="Calibri" w:cs="Calibri"/>
                <w:sz w:val="16"/>
                <w:szCs w:val="16"/>
                <w:lang w:val="en-US"/>
              </w:rPr>
              <w:t xml:space="preserve">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00D65A05"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Small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Trivial</w:t>
            </w:r>
            <w:r w:rsidRPr="00CD2D3A">
              <w:rPr>
                <w:rFonts w:ascii="Calibri" w:eastAsia="Times New Roman" w:hAnsi="Calibri" w:cs="Calibri"/>
                <w:sz w:val="16"/>
                <w:szCs w:val="16"/>
                <w:lang w:val="en-US"/>
              </w:rPr>
              <w:br/>
            </w:r>
            <w:r w:rsidR="00452EFB" w:rsidRPr="00CD2D3A">
              <w:rPr>
                <w:rStyle w:val="checked-marker"/>
                <w:rFonts w:ascii="Calibri" w:eastAsia="Times New Roman" w:hAnsi="Calibri" w:cs="Calibri"/>
                <w:sz w:val="16"/>
                <w:szCs w:val="16"/>
                <w:lang w:val="en-US"/>
              </w:rPr>
              <w:t>●</w:t>
            </w:r>
            <w:r w:rsidR="00452EFB"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proofErr w:type="gramStart"/>
            <w:r w:rsidR="00452EFB" w:rsidRPr="00CD2D3A">
              <w:rPr>
                <w:rStyle w:val="unchecked-marker"/>
                <w:rFonts w:ascii="Calibri" w:eastAsia="Times New Roman" w:hAnsi="Calibri" w:cs="Calibri"/>
                <w:sz w:val="16"/>
                <w:szCs w:val="16"/>
                <w:lang w:val="en-US"/>
              </w:rPr>
              <w:t>○</w:t>
            </w:r>
            <w:r w:rsidR="00452EFB" w:rsidRPr="00CD2D3A">
              <w:rPr>
                <w:rFonts w:ascii="Calibri" w:eastAsia="Times New Roman" w:hAnsi="Calibri" w:cs="Calibri"/>
                <w:sz w:val="16"/>
                <w:szCs w:val="16"/>
                <w:lang w:val="en-US"/>
              </w:rPr>
              <w:t> </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w:t>
            </w:r>
            <w:proofErr w:type="gramEnd"/>
            <w:r w:rsidRPr="00CD2D3A">
              <w:rPr>
                <w:rStyle w:val="ep-radiobuttonlabel"/>
                <w:rFonts w:ascii="Calibri" w:eastAsia="Times New Roman" w:hAnsi="Calibri" w:cs="Calibri"/>
                <w:sz w:val="16"/>
                <w:szCs w:val="16"/>
                <w:lang w:val="en-US"/>
              </w:rPr>
              <w:t xml:space="preserve">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1E82A577" w:rsidR="000526C3" w:rsidRPr="006729C7" w:rsidRDefault="00597673" w:rsidP="005467BC">
            <w:pPr>
              <w:spacing w:before="100" w:beforeAutospacing="1" w:after="100" w:afterAutospacing="1" w:line="240" w:lineRule="auto"/>
              <w:divId w:val="819886302"/>
              <w:rPr>
                <w:rFonts w:eastAsia="Times New Roman" w:cstheme="minorHAnsi"/>
                <w:sz w:val="16"/>
                <w:szCs w:val="16"/>
                <w:lang w:val="en-US"/>
              </w:rPr>
            </w:pPr>
            <w:r w:rsidRPr="006729C7">
              <w:rPr>
                <w:rFonts w:eastAsia="Times New Roman" w:cstheme="minorHAnsi"/>
                <w:sz w:val="16"/>
                <w:szCs w:val="16"/>
                <w:lang w:val="en-US"/>
              </w:rPr>
              <w:t>Although the evidence is of low certainty, it is likely that the undesirable effects of hypoxia are significant. The undesirable effects on neurologic outcome of hyperoxia are very uncertain based on inconsistency of study results</w:t>
            </w:r>
            <w:r w:rsidR="00452EFB">
              <w:rPr>
                <w:rFonts w:eastAsia="Times New Roman" w:cstheme="minorHAnsi"/>
                <w:sz w:val="16"/>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526C3" w:rsidRPr="00CD2D3A" w:rsidRDefault="00045AFF">
            <w:pPr>
              <w:divId w:val="18818597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A96752"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526C3" w:rsidRPr="00CD2D3A" w:rsidRDefault="00045AF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0526C3" w:rsidRPr="00CD2D3A" w:rsidRDefault="00045AF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526C3"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77777777" w:rsidR="000526C3" w:rsidRPr="00CD2D3A" w:rsidRDefault="00045AFF">
            <w:pPr>
              <w:divId w:val="400564511"/>
              <w:rPr>
                <w:rFonts w:ascii="Calibri" w:eastAsia="Times New Roman" w:hAnsi="Calibri" w:cs="Calibri"/>
                <w:sz w:val="16"/>
                <w:szCs w:val="16"/>
                <w:lang w:val="en-US"/>
              </w:rPr>
            </w:pP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Very 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High</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109EF441" w:rsidR="000526C3" w:rsidRPr="00CD2D3A" w:rsidRDefault="00045AFF" w:rsidP="00B067A8">
            <w:pPr>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 </w:t>
            </w:r>
            <w:r w:rsidR="00597673">
              <w:rPr>
                <w:rFonts w:ascii="Calibri" w:eastAsia="Times New Roman" w:hAnsi="Calibri" w:cs="Calibri"/>
                <w:sz w:val="16"/>
                <w:szCs w:val="16"/>
                <w:lang w:val="en-US"/>
              </w:rPr>
              <w:t>The certainty of evidence varies across the included studies from very low to</w:t>
            </w:r>
            <w:r w:rsidR="00BB4FD0">
              <w:rPr>
                <w:rFonts w:ascii="Calibri" w:eastAsia="Times New Roman" w:hAnsi="Calibri" w:cs="Calibri"/>
                <w:sz w:val="16"/>
                <w:szCs w:val="16"/>
                <w:lang w:val="en-US"/>
              </w:rPr>
              <w:t xml:space="preserve"> low (see tables and summary of observational data above)</w:t>
            </w:r>
            <w:r w:rsidR="00597673">
              <w:rPr>
                <w:rFonts w:ascii="Calibri" w:eastAsia="Times New Roman" w:hAnsi="Calibri" w:cs="Calibri"/>
                <w:sz w:val="16"/>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77777777" w:rsidR="000526C3" w:rsidRPr="00CD2D3A" w:rsidRDefault="00045AFF">
            <w:pPr>
              <w:divId w:val="1777214354"/>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A96752"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526C3" w:rsidRPr="00CD2D3A" w:rsidRDefault="00045AF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526C3" w:rsidRPr="00CD2D3A" w:rsidRDefault="00045AF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526C3"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77777777" w:rsidR="000526C3" w:rsidRPr="00CD2D3A" w:rsidRDefault="00045AFF">
            <w:pPr>
              <w:divId w:val="21180133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Possibly important uncertainty or variability</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important uncertainty or variability</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511BFB6B" w:rsidR="000526C3" w:rsidRPr="00CD2D3A" w:rsidRDefault="008A5E4F">
            <w:pPr>
              <w:divId w:val="19403253"/>
              <w:rPr>
                <w:rFonts w:ascii="Calibri" w:eastAsia="Times New Roman" w:hAnsi="Calibri" w:cs="Calibri"/>
                <w:sz w:val="16"/>
                <w:szCs w:val="16"/>
                <w:lang w:val="en-US"/>
              </w:rPr>
            </w:pPr>
            <w:r>
              <w:rPr>
                <w:rFonts w:ascii="Calibri" w:eastAsia="Times New Roman" w:hAnsi="Calibri" w:cs="Calibri"/>
                <w:sz w:val="16"/>
                <w:szCs w:val="16"/>
                <w:lang w:val="en-US"/>
              </w:rPr>
              <w:t>Survival with favorable neurologic outcome and survival are generally accepted as critical outcomes.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526C3" w:rsidRPr="00CD2D3A" w:rsidRDefault="000526C3">
            <w:pPr>
              <w:divId w:val="1312325065"/>
              <w:rPr>
                <w:rFonts w:ascii="Calibri" w:eastAsia="Times New Roman" w:hAnsi="Calibri" w:cs="Calibri"/>
                <w:sz w:val="16"/>
                <w:szCs w:val="16"/>
                <w:lang w:val="en-US"/>
              </w:rPr>
            </w:pPr>
          </w:p>
        </w:tc>
      </w:tr>
      <w:tr w:rsidR="000526C3" w:rsidRPr="00A96752"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526C3" w:rsidRPr="00CD2D3A" w:rsidRDefault="00045AF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526C3" w:rsidRPr="00CD2D3A" w:rsidRDefault="00045AF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526C3"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B067A8"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324B176D" w:rsidR="000526C3" w:rsidRPr="00CD2D3A" w:rsidRDefault="00045AFF">
            <w:pPr>
              <w:divId w:val="159219864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008A5E4F" w:rsidRPr="00CD2D3A">
              <w:rPr>
                <w:rStyle w:val="un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00452EFB" w:rsidRPr="00CD2D3A">
              <w:rPr>
                <w:rStyle w:val="unchecked-marker"/>
                <w:rFonts w:ascii="Calibri" w:eastAsia="Times New Roman" w:hAnsi="Calibri" w:cs="Calibri"/>
                <w:sz w:val="16"/>
                <w:szCs w:val="16"/>
                <w:lang w:val="en-US"/>
              </w:rPr>
              <w:t>○</w:t>
            </w:r>
            <w:r w:rsidR="00452EFB">
              <w:rPr>
                <w:rStyle w:val="unchecked-marker"/>
                <w:rFonts w:ascii="Calibri" w:eastAsia="Times New Roman" w:hAnsi="Calibri" w:cs="Calibri"/>
                <w:sz w:val="16"/>
                <w:szCs w:val="16"/>
                <w:lang w:val="en-US"/>
              </w:rPr>
              <w:t xml:space="preserve"> </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00452EFB"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8BACF" w14:textId="73410CBE" w:rsidR="00B067A8" w:rsidRDefault="008A5E4F">
            <w:pPr>
              <w:rPr>
                <w:rFonts w:ascii="Calibri" w:eastAsia="Times New Roman" w:hAnsi="Calibri" w:cs="Calibri"/>
                <w:sz w:val="16"/>
                <w:szCs w:val="16"/>
                <w:lang w:val="en-US"/>
              </w:rPr>
            </w:pPr>
            <w:r>
              <w:rPr>
                <w:rFonts w:ascii="Calibri" w:eastAsia="Times New Roman" w:hAnsi="Calibri" w:cs="Calibri"/>
                <w:sz w:val="16"/>
                <w:szCs w:val="16"/>
                <w:lang w:val="en-US"/>
              </w:rPr>
              <w:t xml:space="preserve">For hyperoxia, </w:t>
            </w:r>
            <w:r w:rsidR="00BB4FD0">
              <w:rPr>
                <w:rFonts w:ascii="Calibri" w:eastAsia="Times New Roman" w:hAnsi="Calibri" w:cs="Calibri"/>
                <w:sz w:val="16"/>
                <w:szCs w:val="16"/>
                <w:lang w:val="en-US"/>
              </w:rPr>
              <w:t xml:space="preserve">pediatric and adult </w:t>
            </w:r>
            <w:r>
              <w:rPr>
                <w:rFonts w:ascii="Calibri" w:eastAsia="Times New Roman" w:hAnsi="Calibri" w:cs="Calibri"/>
                <w:sz w:val="16"/>
                <w:szCs w:val="16"/>
                <w:lang w:val="en-US"/>
              </w:rPr>
              <w:t>studies generally show either association with harm or no association, but do not generally show association with benefit. The balance of evidence therefore slightly favors avoiding hyperoxia</w:t>
            </w:r>
            <w:r w:rsidR="00BB4FD0">
              <w:rPr>
                <w:rFonts w:ascii="Calibri" w:eastAsia="Times New Roman" w:hAnsi="Calibri" w:cs="Calibri"/>
                <w:sz w:val="16"/>
                <w:szCs w:val="16"/>
                <w:lang w:val="en-US"/>
              </w:rPr>
              <w:t>, although it should be noted that the only pediatric studies finding association with harm were deemed at critical risk of bias</w:t>
            </w:r>
            <w:r>
              <w:rPr>
                <w:rFonts w:ascii="Calibri" w:eastAsia="Times New Roman" w:hAnsi="Calibri" w:cs="Calibri"/>
                <w:sz w:val="16"/>
                <w:szCs w:val="16"/>
                <w:lang w:val="en-US"/>
              </w:rPr>
              <w:t>. For hypoxemia, limited evidence favors avoiding hypoxemia</w:t>
            </w:r>
            <w:r w:rsidR="00BB4FD0">
              <w:rPr>
                <w:rFonts w:ascii="Calibri" w:eastAsia="Times New Roman" w:hAnsi="Calibri" w:cs="Calibri"/>
                <w:sz w:val="16"/>
                <w:szCs w:val="16"/>
                <w:lang w:val="en-US"/>
              </w:rPr>
              <w:t xml:space="preserve"> in adults, although this is not supported by data in pediatrics</w:t>
            </w:r>
            <w:r>
              <w:rPr>
                <w:rFonts w:ascii="Calibri" w:eastAsia="Times New Roman" w:hAnsi="Calibri" w:cs="Calibri"/>
                <w:sz w:val="16"/>
                <w:szCs w:val="16"/>
                <w:lang w:val="en-US"/>
              </w:rPr>
              <w:t xml:space="preserve">. </w:t>
            </w:r>
          </w:p>
          <w:p w14:paraId="43237DDA" w14:textId="77777777" w:rsidR="00B067A8" w:rsidRDefault="00B067A8">
            <w:pPr>
              <w:rPr>
                <w:rFonts w:ascii="Calibri" w:eastAsia="Times New Roman" w:hAnsi="Calibri" w:cs="Calibri"/>
                <w:sz w:val="16"/>
                <w:szCs w:val="16"/>
                <w:lang w:val="en-US"/>
              </w:rPr>
            </w:pPr>
          </w:p>
          <w:p w14:paraId="439FE831" w14:textId="77777777" w:rsidR="00B067A8" w:rsidRDefault="00B067A8">
            <w:pPr>
              <w:rPr>
                <w:rFonts w:ascii="Calibri" w:eastAsia="Times New Roman" w:hAnsi="Calibri" w:cs="Calibri"/>
                <w:sz w:val="16"/>
                <w:szCs w:val="16"/>
                <w:lang w:val="en-US"/>
              </w:rPr>
            </w:pPr>
          </w:p>
          <w:p w14:paraId="689B6B07" w14:textId="77777777" w:rsidR="00B067A8" w:rsidRDefault="00B067A8">
            <w:pPr>
              <w:rPr>
                <w:rFonts w:ascii="Calibri" w:eastAsia="Times New Roman" w:hAnsi="Calibri" w:cs="Calibri"/>
                <w:sz w:val="16"/>
                <w:szCs w:val="16"/>
                <w:lang w:val="en-US"/>
              </w:rPr>
            </w:pPr>
          </w:p>
          <w:p w14:paraId="2D65D378" w14:textId="77777777" w:rsidR="00B067A8" w:rsidRDefault="00B067A8">
            <w:pPr>
              <w:rPr>
                <w:rFonts w:ascii="Calibri" w:eastAsia="Times New Roman" w:hAnsi="Calibri" w:cs="Calibri"/>
                <w:sz w:val="16"/>
                <w:szCs w:val="16"/>
                <w:lang w:val="en-US"/>
              </w:rPr>
            </w:pPr>
          </w:p>
          <w:p w14:paraId="366E79F6" w14:textId="77777777" w:rsidR="00B067A8" w:rsidRDefault="00B067A8">
            <w:pPr>
              <w:rPr>
                <w:rFonts w:ascii="Calibri" w:eastAsia="Times New Roman" w:hAnsi="Calibri" w:cs="Calibri"/>
                <w:sz w:val="16"/>
                <w:szCs w:val="16"/>
                <w:lang w:val="en-US"/>
              </w:rPr>
            </w:pPr>
          </w:p>
          <w:p w14:paraId="4749A444" w14:textId="77777777" w:rsidR="00B067A8" w:rsidRDefault="00B067A8">
            <w:pPr>
              <w:rPr>
                <w:rFonts w:ascii="Calibri" w:eastAsia="Times New Roman" w:hAnsi="Calibri" w:cs="Calibri"/>
                <w:sz w:val="16"/>
                <w:szCs w:val="16"/>
                <w:lang w:val="en-US"/>
              </w:rPr>
            </w:pPr>
          </w:p>
          <w:p w14:paraId="6F2F8CA2" w14:textId="77777777" w:rsidR="00B067A8" w:rsidRDefault="00B067A8">
            <w:pPr>
              <w:rPr>
                <w:rFonts w:ascii="Calibri" w:eastAsia="Times New Roman" w:hAnsi="Calibri" w:cs="Calibri"/>
                <w:sz w:val="16"/>
                <w:szCs w:val="16"/>
                <w:lang w:val="en-US"/>
              </w:rPr>
            </w:pPr>
          </w:p>
          <w:p w14:paraId="0E330B15" w14:textId="77777777" w:rsidR="00B067A8" w:rsidRPr="00B067A8" w:rsidRDefault="00B067A8">
            <w:pPr>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526C3" w:rsidRPr="00B067A8" w:rsidRDefault="00045AFF">
            <w:pPr>
              <w:divId w:val="1321084420"/>
              <w:rPr>
                <w:rFonts w:ascii="Calibri" w:eastAsia="Times New Roman" w:hAnsi="Calibri" w:cs="Calibri"/>
                <w:sz w:val="16"/>
                <w:szCs w:val="16"/>
                <w:lang w:val="en-US"/>
              </w:rPr>
            </w:pPr>
            <w:r w:rsidRPr="00B067A8">
              <w:rPr>
                <w:rFonts w:ascii="Calibri" w:eastAsia="Times New Roman" w:hAnsi="Calibri" w:cs="Calibri"/>
                <w:sz w:val="16"/>
                <w:szCs w:val="16"/>
                <w:lang w:val="en-US"/>
              </w:rPr>
              <w:lastRenderedPageBreak/>
              <w:br/>
            </w:r>
          </w:p>
        </w:tc>
      </w:tr>
      <w:tr w:rsidR="000526C3" w:rsidRPr="00A96752"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526C3" w:rsidRPr="00CD2D3A" w:rsidRDefault="00045AF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526C3" w:rsidRPr="00CD2D3A" w:rsidRDefault="00045AF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526C3"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00C13589" w14:textId="77777777" w:rsidTr="00D65A05">
        <w:trPr>
          <w:divId w:val="1347438940"/>
          <w:trHeight w:val="24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8207F" w14:textId="77777777" w:rsidR="000526C3" w:rsidRPr="00CD2D3A" w:rsidRDefault="00045AFF">
            <w:pPr>
              <w:divId w:val="884949399"/>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Negligible costs and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2266284F" w:rsidR="000526C3" w:rsidRPr="00CD2D3A" w:rsidRDefault="005467BC">
            <w:pPr>
              <w:divId w:val="813763953"/>
              <w:rPr>
                <w:rFonts w:ascii="Calibri" w:eastAsia="Times New Roman" w:hAnsi="Calibri" w:cs="Calibri"/>
                <w:sz w:val="16"/>
                <w:szCs w:val="16"/>
                <w:lang w:val="en-US"/>
              </w:rPr>
            </w:pPr>
            <w:r>
              <w:rPr>
                <w:rFonts w:ascii="Calibri" w:eastAsia="Times New Roman" w:hAnsi="Calibri" w:cs="Calibri"/>
                <w:sz w:val="16"/>
                <w:szCs w:val="16"/>
                <w:lang w:val="en-US"/>
              </w:rPr>
              <w:t xml:space="preserve">We did not identify any studies </w:t>
            </w:r>
            <w:r w:rsidR="00A86318">
              <w:rPr>
                <w:rFonts w:ascii="Calibri" w:eastAsia="Times New Roman" w:hAnsi="Calibri" w:cs="Calibri"/>
                <w:sz w:val="16"/>
                <w:szCs w:val="16"/>
                <w:lang w:val="en-US"/>
              </w:rPr>
              <w:t xml:space="preserve">evaluating the cost of an oxygen strategy targeting a specific/lower oxygen saturation. However, as it is the current standard of care to measure an oxygen saturation continuously in post-arrest, critically-ill patients, and since a titrated oxygen approach would lead the same or decreased oxygen use, it is likely that an intervention to avoid hyperoxia would not incur significant cost. </w:t>
            </w:r>
            <w:r w:rsidR="00483D60">
              <w:rPr>
                <w:rFonts w:ascii="Calibri" w:eastAsia="Times New Roman" w:hAnsi="Calibri" w:cs="Calibri"/>
                <w:sz w:val="16"/>
                <w:szCs w:val="16"/>
                <w:lang w:val="en-US"/>
              </w:rPr>
              <w:t>For EMS systems, many are not equipped to titrate oxygen, so providing titratable systems would incur additional resource costs.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526C3" w:rsidRPr="00CD2D3A" w:rsidRDefault="000526C3">
            <w:pPr>
              <w:divId w:val="509099511"/>
              <w:rPr>
                <w:rFonts w:ascii="Calibri" w:eastAsia="Times New Roman" w:hAnsi="Calibri" w:cs="Calibri"/>
                <w:sz w:val="16"/>
                <w:szCs w:val="16"/>
                <w:lang w:val="en-US"/>
              </w:rPr>
            </w:pPr>
          </w:p>
        </w:tc>
      </w:tr>
      <w:tr w:rsidR="000526C3" w:rsidRPr="00A96752"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526C3" w:rsidRPr="00CD2D3A" w:rsidRDefault="00045AF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526C3" w:rsidRPr="00CD2D3A" w:rsidRDefault="00045AF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526C3"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1B5199E4" w14:textId="77777777" w:rsidTr="00D65A05">
        <w:trPr>
          <w:divId w:val="1347438940"/>
          <w:trHeight w:val="30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77777777" w:rsidR="000526C3" w:rsidRPr="00CD2D3A" w:rsidRDefault="00045AFF">
            <w:pPr>
              <w:divId w:val="42508209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Very 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High</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57E90B5F" w:rsidR="000526C3" w:rsidRPr="00CD2D3A" w:rsidRDefault="00045AFF">
            <w:pPr>
              <w:divId w:val="1777090316"/>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specifically comparing resources including costs between the two interventions.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526C3" w:rsidRPr="00CD2D3A" w:rsidRDefault="00045AFF">
            <w:pPr>
              <w:divId w:val="187611318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A96752"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526C3" w:rsidRPr="00CD2D3A" w:rsidRDefault="00045AF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526C3" w:rsidRPr="00CD2D3A" w:rsidRDefault="00045AF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526C3"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77777777" w:rsidR="000526C3" w:rsidRPr="00CD2D3A" w:rsidRDefault="00045AFF">
            <w:pPr>
              <w:divId w:val="15585886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77777777" w:rsidR="000526C3" w:rsidRPr="00CD2D3A" w:rsidRDefault="00045AFF">
            <w:pPr>
              <w:divId w:val="600456648"/>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w:t>
            </w:r>
            <w:r w:rsidR="00B067A8" w:rsidRPr="00CD2D3A">
              <w:rPr>
                <w:rFonts w:ascii="Calibri" w:eastAsia="Times New Roman" w:hAnsi="Calibri" w:cs="Calibri"/>
                <w:sz w:val="16"/>
                <w:szCs w:val="16"/>
                <w:lang w:val="en-US"/>
              </w:rPr>
              <w:t>addressing</w:t>
            </w:r>
            <w:r w:rsidRPr="00CD2D3A">
              <w:rPr>
                <w:rFonts w:ascii="Calibri" w:eastAsia="Times New Roman" w:hAnsi="Calibri" w:cs="Calibri"/>
                <w:sz w:val="16"/>
                <w:szCs w:val="16"/>
                <w:lang w:val="en-US"/>
              </w:rPr>
              <w:t xml:space="preserve"> cost-effectiveness.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526C3" w:rsidRPr="00CD2D3A" w:rsidRDefault="00045AFF">
            <w:pPr>
              <w:divId w:val="2070108790"/>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A96752"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526C3" w:rsidRPr="00CD2D3A" w:rsidRDefault="00045AFF">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0526C3" w:rsidRPr="00CD2D3A" w:rsidRDefault="00045AFF">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0526C3"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77777777" w:rsidR="000526C3" w:rsidRPr="00CD2D3A" w:rsidRDefault="00045AFF">
            <w:pPr>
              <w:divId w:val="42264778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impact</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2192BF59" w:rsidR="000526C3" w:rsidRPr="00CD2D3A" w:rsidRDefault="00045AFF">
            <w:pPr>
              <w:divId w:val="1995839398"/>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w:t>
            </w:r>
            <w:r w:rsidR="00B067A8" w:rsidRPr="00CD2D3A">
              <w:rPr>
                <w:rFonts w:ascii="Calibri" w:eastAsia="Times New Roman" w:hAnsi="Calibri" w:cs="Calibri"/>
                <w:sz w:val="16"/>
                <w:szCs w:val="16"/>
                <w:lang w:val="en-US"/>
              </w:rPr>
              <w:t>addressing</w:t>
            </w:r>
            <w:r w:rsidRPr="00CD2D3A">
              <w:rPr>
                <w:rFonts w:ascii="Calibri" w:eastAsia="Times New Roman" w:hAnsi="Calibri" w:cs="Calibri"/>
                <w:sz w:val="16"/>
                <w:szCs w:val="16"/>
                <w:lang w:val="en-US"/>
              </w:rPr>
              <w:t xml:space="preserve"> health equity</w:t>
            </w:r>
            <w:r w:rsidR="00953837">
              <w:rPr>
                <w:rFonts w:ascii="Calibri" w:eastAsia="Times New Roman" w:hAnsi="Calibri" w:cs="Calibri"/>
                <w:sz w:val="16"/>
                <w:szCs w:val="16"/>
                <w:lang w:val="en-US"/>
              </w:rPr>
              <w:t xml:space="preserve"> regarding this topic</w:t>
            </w:r>
            <w:r w:rsidRPr="00CD2D3A">
              <w:rPr>
                <w:rFonts w:ascii="Calibri" w:eastAsia="Times New Roman" w:hAnsi="Calibri" w:cs="Calibri"/>
                <w:sz w:val="16"/>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526C3" w:rsidRPr="00CD2D3A" w:rsidRDefault="00045AFF">
            <w:pPr>
              <w:divId w:val="181333062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A96752"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526C3" w:rsidRPr="00CD2D3A" w:rsidRDefault="00045AFF">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526C3" w:rsidRPr="00CD2D3A" w:rsidRDefault="00045AFF">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0526C3"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7D50F429" w14:textId="77777777" w:rsidTr="00D65A05">
        <w:trPr>
          <w:divId w:val="1347438940"/>
          <w:trHeight w:val="2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77777777" w:rsidR="000526C3" w:rsidRPr="00CD2D3A" w:rsidRDefault="00045AFF">
            <w:pPr>
              <w:divId w:val="1808934227"/>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477E59EC" w:rsidR="000526C3" w:rsidRDefault="00045AFF">
            <w:pPr>
              <w:divId w:val="1397168485"/>
              <w:rPr>
                <w:rFonts w:ascii="Calibri" w:eastAsia="Times New Roman" w:hAnsi="Calibri" w:cs="Calibri"/>
                <w:sz w:val="16"/>
                <w:szCs w:val="16"/>
                <w:lang w:val="en-US"/>
              </w:rPr>
            </w:pPr>
            <w:r w:rsidRPr="00CD2D3A">
              <w:rPr>
                <w:rFonts w:ascii="Calibri" w:eastAsia="Times New Roman" w:hAnsi="Calibri" w:cs="Calibri"/>
                <w:sz w:val="16"/>
                <w:szCs w:val="16"/>
                <w:lang w:val="en-US"/>
              </w:rPr>
              <w:t>We have not identified any research that assessed acceptability</w:t>
            </w:r>
            <w:r w:rsidR="003C25B6">
              <w:rPr>
                <w:rFonts w:ascii="Calibri" w:eastAsia="Times New Roman" w:hAnsi="Calibri" w:cs="Calibri"/>
                <w:sz w:val="16"/>
                <w:szCs w:val="16"/>
                <w:lang w:val="en-US"/>
              </w:rPr>
              <w:t>, but these TRs do not include any substantial changes compared to 2015.</w:t>
            </w:r>
          </w:p>
          <w:p w14:paraId="3B89F07F" w14:textId="77777777" w:rsidR="00B067A8" w:rsidRDefault="00B067A8">
            <w:pPr>
              <w:divId w:val="1397168485"/>
              <w:rPr>
                <w:rFonts w:ascii="Calibri" w:eastAsia="Times New Roman" w:hAnsi="Calibri" w:cs="Calibri"/>
                <w:sz w:val="16"/>
                <w:szCs w:val="16"/>
                <w:lang w:val="en-US"/>
              </w:rPr>
            </w:pPr>
          </w:p>
          <w:p w14:paraId="35DC1712" w14:textId="77777777" w:rsidR="00B067A8" w:rsidRDefault="00B067A8">
            <w:pPr>
              <w:divId w:val="1397168485"/>
              <w:rPr>
                <w:rFonts w:ascii="Calibri" w:eastAsia="Times New Roman" w:hAnsi="Calibri" w:cs="Calibri"/>
                <w:sz w:val="16"/>
                <w:szCs w:val="16"/>
                <w:lang w:val="en-US"/>
              </w:rPr>
            </w:pPr>
          </w:p>
          <w:p w14:paraId="576DECB2" w14:textId="77777777" w:rsidR="00B067A8" w:rsidRDefault="00B067A8">
            <w:pPr>
              <w:divId w:val="1397168485"/>
              <w:rPr>
                <w:rFonts w:ascii="Calibri" w:eastAsia="Times New Roman" w:hAnsi="Calibri" w:cs="Calibri"/>
                <w:sz w:val="16"/>
                <w:szCs w:val="16"/>
                <w:lang w:val="en-US"/>
              </w:rPr>
            </w:pPr>
          </w:p>
          <w:p w14:paraId="2F1E5CBB" w14:textId="77777777" w:rsidR="00B067A8" w:rsidRDefault="00B067A8">
            <w:pPr>
              <w:divId w:val="1397168485"/>
              <w:rPr>
                <w:rFonts w:ascii="Calibri" w:eastAsia="Times New Roman" w:hAnsi="Calibri" w:cs="Calibri"/>
                <w:sz w:val="16"/>
                <w:szCs w:val="16"/>
                <w:lang w:val="en-US"/>
              </w:rPr>
            </w:pPr>
          </w:p>
          <w:p w14:paraId="3AD83346" w14:textId="77777777" w:rsidR="00B067A8" w:rsidRDefault="00B067A8">
            <w:pPr>
              <w:divId w:val="1397168485"/>
              <w:rPr>
                <w:rFonts w:ascii="Calibri" w:eastAsia="Times New Roman" w:hAnsi="Calibri" w:cs="Calibri"/>
                <w:sz w:val="16"/>
                <w:szCs w:val="16"/>
                <w:lang w:val="en-US"/>
              </w:rPr>
            </w:pPr>
          </w:p>
          <w:p w14:paraId="1333C6E5" w14:textId="77777777" w:rsidR="00B067A8" w:rsidRPr="00CD2D3A" w:rsidRDefault="00B067A8">
            <w:pPr>
              <w:divId w:val="1397168485"/>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7CC13D86" w:rsidR="000526C3" w:rsidRPr="00A86318" w:rsidRDefault="00A86318">
            <w:pPr>
              <w:divId w:val="1296640506"/>
              <w:rPr>
                <w:rFonts w:ascii="Calibri" w:eastAsia="Times New Roman" w:hAnsi="Calibri" w:cs="Calibri"/>
                <w:sz w:val="16"/>
                <w:szCs w:val="16"/>
                <w:lang w:val="en-US"/>
              </w:rPr>
            </w:pPr>
            <w:r>
              <w:rPr>
                <w:rFonts w:ascii="Calibri" w:eastAsia="Times New Roman" w:hAnsi="Calibri" w:cs="Calibri"/>
                <w:sz w:val="16"/>
                <w:szCs w:val="16"/>
                <w:lang w:val="en-US"/>
              </w:rPr>
              <w:t>Although we did not identify any studies addressing acceptability, it is common practice to decrease FiO</w:t>
            </w:r>
            <w:r>
              <w:rPr>
                <w:rFonts w:ascii="Calibri" w:eastAsia="Times New Roman" w:hAnsi="Calibri" w:cs="Calibri"/>
                <w:sz w:val="16"/>
                <w:szCs w:val="16"/>
                <w:vertAlign w:val="subscript"/>
                <w:lang w:val="en-US"/>
              </w:rPr>
              <w:t>2</w:t>
            </w:r>
            <w:r>
              <w:rPr>
                <w:rFonts w:ascii="Calibri" w:eastAsia="Times New Roman" w:hAnsi="Calibri" w:cs="Calibri"/>
                <w:sz w:val="16"/>
                <w:szCs w:val="16"/>
                <w:lang w:val="en-US"/>
              </w:rPr>
              <w:t xml:space="preserve"> for other critically ill patients and would likely be acceptable to those treating post-arrest patients. </w:t>
            </w:r>
            <w:r w:rsidR="003C25B6">
              <w:rPr>
                <w:rFonts w:ascii="Calibri" w:eastAsia="Times New Roman" w:hAnsi="Calibri" w:cs="Calibri"/>
                <w:sz w:val="16"/>
                <w:szCs w:val="16"/>
                <w:lang w:val="en-US"/>
              </w:rPr>
              <w:t xml:space="preserve">The TR for carbon dioxide targets is also in line with current clinical practice for other critically ill patients. </w:t>
            </w:r>
          </w:p>
        </w:tc>
      </w:tr>
      <w:tr w:rsidR="000526C3" w:rsidRPr="00A96752"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526C3" w:rsidRPr="00CD2D3A" w:rsidRDefault="00045AFF">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0526C3" w:rsidRPr="00CD2D3A" w:rsidRDefault="00045AFF">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0526C3"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526C3" w:rsidRPr="00CD2D3A" w:rsidRDefault="00045AFF">
            <w:pPr>
              <w:divId w:val="205928128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lastRenderedPageBreak/>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2025608C" w:rsidR="000526C3" w:rsidRPr="00A86318" w:rsidRDefault="00045AFF">
            <w:pPr>
              <w:divId w:val="177352821"/>
              <w:rPr>
                <w:rFonts w:ascii="Calibri" w:eastAsia="Times New Roman" w:hAnsi="Calibri" w:cs="Calibri"/>
                <w:sz w:val="16"/>
                <w:szCs w:val="16"/>
                <w:lang w:val="en-US"/>
              </w:rPr>
            </w:pPr>
            <w:r w:rsidRPr="00CD2D3A">
              <w:rPr>
                <w:rFonts w:ascii="Calibri" w:eastAsia="Times New Roman" w:hAnsi="Calibri" w:cs="Calibri"/>
                <w:sz w:val="16"/>
                <w:szCs w:val="16"/>
                <w:lang w:val="en-US"/>
              </w:rPr>
              <w:lastRenderedPageBreak/>
              <w:t xml:space="preserve">Feasibility was not </w:t>
            </w:r>
            <w:r w:rsidR="00A86318">
              <w:rPr>
                <w:rFonts w:ascii="Calibri" w:eastAsia="Times New Roman" w:hAnsi="Calibri" w:cs="Calibri"/>
                <w:sz w:val="16"/>
                <w:szCs w:val="16"/>
                <w:lang w:val="en-US"/>
              </w:rPr>
              <w:t xml:space="preserve">specifically addressed by this review. However, avoiding hyperoxia should be feasible in most ICU settings where patients are continually monitored. </w:t>
            </w:r>
            <w:r w:rsidRPr="00CD2D3A">
              <w:rPr>
                <w:rFonts w:ascii="Calibri" w:eastAsia="Times New Roman" w:hAnsi="Calibri" w:cs="Calibri"/>
                <w:sz w:val="16"/>
                <w:szCs w:val="16"/>
                <w:lang w:val="en-US"/>
              </w:rPr>
              <w:t xml:space="preserve"> </w:t>
            </w:r>
            <w:r w:rsidR="00A86318">
              <w:rPr>
                <w:rFonts w:ascii="Calibri" w:eastAsia="Times New Roman" w:hAnsi="Calibri" w:cs="Calibri"/>
                <w:sz w:val="16"/>
                <w:szCs w:val="16"/>
                <w:lang w:val="en-US"/>
              </w:rPr>
              <w:t>Decreasing FiO</w:t>
            </w:r>
            <w:r w:rsidR="00A86318">
              <w:rPr>
                <w:rFonts w:ascii="Calibri" w:eastAsia="Times New Roman" w:hAnsi="Calibri" w:cs="Calibri"/>
                <w:sz w:val="16"/>
                <w:szCs w:val="16"/>
                <w:vertAlign w:val="subscript"/>
                <w:lang w:val="en-US"/>
              </w:rPr>
              <w:t>2</w:t>
            </w:r>
            <w:r w:rsidR="00A86318">
              <w:rPr>
                <w:rFonts w:ascii="Calibri" w:eastAsia="Times New Roman" w:hAnsi="Calibri" w:cs="Calibri"/>
                <w:sz w:val="16"/>
                <w:szCs w:val="16"/>
                <w:lang w:val="en-US"/>
              </w:rPr>
              <w:t xml:space="preserve"> in the pre-hospital setting or in the immediate post-arrest period may be less feasible as oxygen saturations may be hard to obtain reliably.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526C3" w:rsidRPr="00CD2D3A" w:rsidRDefault="00045AFF">
            <w:pPr>
              <w:divId w:val="585457396"/>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bl>
    <w:p w14:paraId="513488CF" w14:textId="77777777"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t>Summary of judgements</w:t>
      </w:r>
    </w:p>
    <w:tbl>
      <w:tblPr>
        <w:tblW w:w="5000" w:type="pct"/>
        <w:tblLook w:val="04A0" w:firstRow="1" w:lastRow="0" w:firstColumn="1" w:lastColumn="0" w:noHBand="0" w:noVBand="1"/>
      </w:tblPr>
      <w:tblGrid>
        <w:gridCol w:w="2360"/>
        <w:gridCol w:w="1731"/>
        <w:gridCol w:w="1734"/>
        <w:gridCol w:w="1740"/>
        <w:gridCol w:w="1740"/>
        <w:gridCol w:w="1740"/>
        <w:gridCol w:w="1657"/>
        <w:gridCol w:w="1690"/>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no</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yes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Don't</w:t>
            </w:r>
            <w:proofErr w:type="spellEnd"/>
            <w:r>
              <w:rPr>
                <w:rFonts w:ascii="Calibri" w:hAnsi="Calibri" w:cs="Calibri"/>
                <w:color w:val="AEAAAA"/>
                <w:sz w:val="16"/>
                <w:szCs w:val="16"/>
              </w:rPr>
              <w:t xml:space="preserve">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3C25B6">
              <w:rPr>
                <w:rFonts w:ascii="Calibri" w:hAnsi="Calibri" w:cs="Calibri"/>
                <w:b/>
                <w:color w:val="BFBFBF" w:themeColor="background1" w:themeShade="BF"/>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proofErr w:type="spellStart"/>
            <w:r w:rsidRPr="003C25B6">
              <w:rPr>
                <w:rFonts w:ascii="Calibri" w:hAnsi="Calibri" w:cs="Calibri"/>
                <w:b/>
                <w:color w:val="000000" w:themeColor="text1"/>
                <w:sz w:val="16"/>
                <w:szCs w:val="16"/>
              </w:rPr>
              <w:t>Don't</w:t>
            </w:r>
            <w:proofErr w:type="spellEnd"/>
            <w:r w:rsidRPr="003C25B6">
              <w:rPr>
                <w:rFonts w:ascii="Calibri" w:hAnsi="Calibri" w:cs="Calibri"/>
                <w:b/>
                <w:color w:val="000000" w:themeColor="text1"/>
                <w:sz w:val="16"/>
                <w:szCs w:val="16"/>
              </w:rPr>
              <w:t xml:space="preserve">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452EFB" w:rsidRDefault="00D65A05">
            <w:pPr>
              <w:pStyle w:val="NormalWeb"/>
              <w:spacing w:before="0" w:beforeAutospacing="0" w:after="0" w:afterAutospacing="0" w:line="256" w:lineRule="auto"/>
              <w:jc w:val="center"/>
              <w:rPr>
                <w:rFonts w:ascii="Calibri" w:hAnsi="Calibri" w:cs="Calibri"/>
                <w:b/>
                <w:color w:val="AEAAAA"/>
                <w:sz w:val="16"/>
                <w:szCs w:val="16"/>
              </w:rPr>
            </w:pPr>
            <w:proofErr w:type="spellStart"/>
            <w:r w:rsidRPr="00452EFB">
              <w:rPr>
                <w:rFonts w:ascii="Calibri" w:hAnsi="Calibri" w:cs="Calibri"/>
                <w:b/>
                <w:color w:val="000000" w:themeColor="text1"/>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452EFB"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sidRPr="00452EFB">
              <w:rPr>
                <w:rFonts w:ascii="Calibri" w:hAnsi="Calibri" w:cs="Calibri"/>
                <w:color w:val="BFBFBF" w:themeColor="background1" w:themeShade="BF"/>
                <w:sz w:val="16"/>
                <w:szCs w:val="16"/>
              </w:rPr>
              <w:t>Don't</w:t>
            </w:r>
            <w:proofErr w:type="spellEnd"/>
            <w:r w:rsidRPr="00452EFB">
              <w:rPr>
                <w:rFonts w:ascii="Calibri" w:hAnsi="Calibri" w:cs="Calibri"/>
                <w:color w:val="BFBFBF" w:themeColor="background1" w:themeShade="BF"/>
                <w:sz w:val="16"/>
                <w:szCs w:val="16"/>
              </w:rPr>
              <w:t xml:space="preserve">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Very</w:t>
            </w:r>
            <w:proofErr w:type="spellEnd"/>
            <w:r>
              <w:rPr>
                <w:rFonts w:ascii="Calibri" w:hAnsi="Calibri" w:cs="Calibri"/>
                <w:b/>
                <w:bCs/>
                <w:color w:val="000000"/>
                <w:sz w:val="16"/>
                <w:szCs w:val="16"/>
              </w:rPr>
              <w:t xml:space="preserve"> </w:t>
            </w:r>
            <w:proofErr w:type="spellStart"/>
            <w:r>
              <w:rPr>
                <w:rFonts w:ascii="Calibri" w:hAnsi="Calibri" w:cs="Calibri"/>
                <w:b/>
                <w:bCs/>
                <w:color w:val="000000"/>
                <w:sz w:val="16"/>
                <w:szCs w:val="16"/>
              </w:rPr>
              <w:t>low</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No </w:t>
            </w:r>
            <w:proofErr w:type="spellStart"/>
            <w:r>
              <w:rPr>
                <w:rFonts w:ascii="Calibri" w:hAnsi="Calibri" w:cs="Calibri"/>
                <w:color w:val="AEAAAA"/>
                <w:sz w:val="16"/>
                <w:szCs w:val="16"/>
              </w:rPr>
              <w:t>included</w:t>
            </w:r>
            <w:proofErr w:type="spellEnd"/>
            <w:r>
              <w:rPr>
                <w:rFonts w:ascii="Calibri" w:hAnsi="Calibri" w:cs="Calibri"/>
                <w:color w:val="AEAAAA"/>
                <w:sz w:val="16"/>
                <w:szCs w:val="16"/>
              </w:rPr>
              <w:t xml:space="preserve"> studies</w:t>
            </w:r>
          </w:p>
        </w:tc>
      </w:tr>
      <w:tr w:rsidR="00D65A05" w:rsidRPr="00D65A05"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Important</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uncertainty</w:t>
            </w:r>
            <w:proofErr w:type="spellEnd"/>
            <w:r>
              <w:rPr>
                <w:rFonts w:ascii="Calibri" w:hAnsi="Calibri" w:cs="Calibri"/>
                <w:color w:val="AEAAAA"/>
                <w:sz w:val="16"/>
                <w:szCs w:val="16"/>
              </w:rPr>
              <w:t xml:space="preserve"> or </w:t>
            </w:r>
            <w:proofErr w:type="spellStart"/>
            <w:r>
              <w:rPr>
                <w:rFonts w:ascii="Calibri" w:hAnsi="Calibri" w:cs="Calibri"/>
                <w:color w:val="AEAAAA"/>
                <w:sz w:val="16"/>
                <w:szCs w:val="16"/>
              </w:rPr>
              <w:t>variability</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D65A05" w:rsidRDefault="00D65A05">
            <w:pPr>
              <w:pStyle w:val="NormalWeb"/>
              <w:spacing w:before="0" w:beforeAutospacing="0" w:after="0" w:afterAutospacing="0" w:line="256" w:lineRule="auto"/>
              <w:jc w:val="center"/>
              <w:rPr>
                <w:rFonts w:ascii="Calibri" w:hAnsi="Calibri" w:cs="Calibri"/>
                <w:b/>
                <w:bCs/>
                <w:color w:val="000000"/>
                <w:sz w:val="16"/>
                <w:szCs w:val="16"/>
                <w:lang w:val="en-US"/>
              </w:rPr>
            </w:pPr>
            <w:r w:rsidRPr="00D65A05">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w:t>
            </w:r>
            <w:proofErr w:type="spellStart"/>
            <w:r>
              <w:rPr>
                <w:rFonts w:ascii="Calibri" w:hAnsi="Calibri" w:cs="Calibri"/>
                <w:color w:val="AEAAAA"/>
                <w:sz w:val="16"/>
                <w:szCs w:val="16"/>
              </w:rPr>
              <w:t>comparison</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sidRPr="008A5E4F">
              <w:rPr>
                <w:rFonts w:ascii="Calibri" w:hAnsi="Calibri" w:cs="Calibri"/>
                <w:b/>
                <w:bCs/>
                <w:color w:val="BFBFBF" w:themeColor="background1" w:themeShade="BF"/>
                <w:sz w:val="16"/>
                <w:szCs w:val="16"/>
              </w:rPr>
              <w:t>Probably</w:t>
            </w:r>
            <w:proofErr w:type="spellEnd"/>
            <w:r w:rsidRPr="008A5E4F">
              <w:rPr>
                <w:rFonts w:ascii="Calibri" w:hAnsi="Calibri" w:cs="Calibri"/>
                <w:b/>
                <w:bCs/>
                <w:color w:val="BFBFBF" w:themeColor="background1" w:themeShade="BF"/>
                <w:sz w:val="16"/>
                <w:szCs w:val="16"/>
              </w:rPr>
              <w:t xml:space="preserve"> </w:t>
            </w:r>
            <w:proofErr w:type="spellStart"/>
            <w:r w:rsidRPr="008A5E4F">
              <w:rPr>
                <w:rFonts w:ascii="Calibri" w:hAnsi="Calibri" w:cs="Calibri"/>
                <w:b/>
                <w:bCs/>
                <w:color w:val="BFBFBF" w:themeColor="background1" w:themeShade="BF"/>
                <w:sz w:val="16"/>
                <w:szCs w:val="16"/>
              </w:rPr>
              <w:t>favors</w:t>
            </w:r>
            <w:proofErr w:type="spellEnd"/>
            <w:r w:rsidRPr="008A5E4F">
              <w:rPr>
                <w:rFonts w:ascii="Calibri" w:hAnsi="Calibri" w:cs="Calibri"/>
                <w:b/>
                <w:bCs/>
                <w:color w:val="BFBFBF" w:themeColor="background1" w:themeShade="BF"/>
                <w:sz w:val="16"/>
                <w:szCs w:val="16"/>
              </w:rPr>
              <w:t xml:space="preserve"> the </w:t>
            </w:r>
            <w:proofErr w:type="spellStart"/>
            <w:r w:rsidRPr="008A5E4F">
              <w:rPr>
                <w:rFonts w:ascii="Calibri" w:hAnsi="Calibri" w:cs="Calibri"/>
                <w:b/>
                <w:bCs/>
                <w:color w:val="BFBFBF" w:themeColor="background1" w:themeShade="BF"/>
                <w:sz w:val="16"/>
                <w:szCs w:val="16"/>
              </w:rPr>
              <w:t>comparison</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452EFB"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sidRPr="00452EFB">
              <w:rPr>
                <w:rFonts w:ascii="Calibri" w:hAnsi="Calibri" w:cs="Calibri"/>
                <w:color w:val="BFBFBF" w:themeColor="background1" w:themeShade="BF"/>
                <w:sz w:val="16"/>
                <w:szCs w:val="16"/>
              </w:rPr>
              <w:t>Probably</w:t>
            </w:r>
            <w:proofErr w:type="spellEnd"/>
            <w:r w:rsidRPr="00452EFB">
              <w:rPr>
                <w:rFonts w:ascii="Calibri" w:hAnsi="Calibri" w:cs="Calibri"/>
                <w:color w:val="BFBFBF" w:themeColor="background1" w:themeShade="BF"/>
                <w:sz w:val="16"/>
                <w:szCs w:val="16"/>
              </w:rPr>
              <w:t xml:space="preserve"> </w:t>
            </w:r>
            <w:proofErr w:type="spellStart"/>
            <w:r w:rsidRPr="00452EFB">
              <w:rPr>
                <w:rFonts w:ascii="Calibri" w:hAnsi="Calibri" w:cs="Calibri"/>
                <w:color w:val="BFBFBF" w:themeColor="background1" w:themeShade="BF"/>
                <w:sz w:val="16"/>
                <w:szCs w:val="16"/>
              </w:rPr>
              <w:t>favors</w:t>
            </w:r>
            <w:proofErr w:type="spellEnd"/>
            <w:r w:rsidRPr="00452EFB">
              <w:rPr>
                <w:rFonts w:ascii="Calibri" w:hAnsi="Calibri" w:cs="Calibri"/>
                <w:color w:val="BFBFBF" w:themeColor="background1" w:themeShade="BF"/>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452EFB" w:rsidRDefault="00D65A05">
            <w:pPr>
              <w:pStyle w:val="NormalWeb"/>
              <w:spacing w:before="0" w:beforeAutospacing="0" w:after="0" w:afterAutospacing="0" w:line="256" w:lineRule="auto"/>
              <w:jc w:val="center"/>
              <w:rPr>
                <w:rFonts w:ascii="Calibri" w:hAnsi="Calibri" w:cs="Calibri"/>
                <w:b/>
                <w:color w:val="AEAAAA"/>
                <w:sz w:val="16"/>
                <w:szCs w:val="16"/>
              </w:rPr>
            </w:pPr>
            <w:proofErr w:type="spellStart"/>
            <w:r w:rsidRPr="00452EFB">
              <w:rPr>
                <w:rFonts w:ascii="Calibri" w:hAnsi="Calibri" w:cs="Calibri"/>
                <w:b/>
                <w:color w:val="000000" w:themeColor="text1"/>
                <w:sz w:val="16"/>
                <w:szCs w:val="16"/>
              </w:rPr>
              <w:t>Don't</w:t>
            </w:r>
            <w:proofErr w:type="spellEnd"/>
            <w:r w:rsidRPr="00452EFB">
              <w:rPr>
                <w:rFonts w:ascii="Calibri" w:hAnsi="Calibri" w:cs="Calibri"/>
                <w:b/>
                <w:color w:val="000000" w:themeColor="text1"/>
                <w:sz w:val="16"/>
                <w:szCs w:val="16"/>
              </w:rPr>
              <w:t xml:space="preserve">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Large </w:t>
            </w:r>
            <w:proofErr w:type="spellStart"/>
            <w:r>
              <w:rPr>
                <w:rFonts w:ascii="Calibri" w:hAnsi="Calibri" w:cs="Calibri"/>
                <w:color w:val="AEAAAA"/>
                <w:sz w:val="16"/>
                <w:szCs w:val="16"/>
              </w:rPr>
              <w:t>costs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Moderate </w:t>
            </w:r>
            <w:proofErr w:type="spellStart"/>
            <w:r>
              <w:rPr>
                <w:rFonts w:ascii="Calibri" w:hAnsi="Calibri" w:cs="Calibri"/>
                <w:color w:val="AEAAAA"/>
                <w:sz w:val="16"/>
                <w:szCs w:val="16"/>
              </w:rPr>
              <w:t>costs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Negligible</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costs</w:t>
            </w:r>
            <w:proofErr w:type="spellEnd"/>
            <w:r>
              <w:rPr>
                <w:rFonts w:ascii="Calibri" w:hAnsi="Calibri" w:cs="Calibri"/>
                <w:color w:val="AEAAAA"/>
                <w:sz w:val="16"/>
                <w:szCs w:val="16"/>
              </w:rPr>
              <w:t xml:space="preserve"> and </w:t>
            </w:r>
            <w:proofErr w:type="spellStart"/>
            <w:r>
              <w:rPr>
                <w:rFonts w:ascii="Calibri" w:hAnsi="Calibri" w:cs="Calibri"/>
                <w:color w:val="AEAAAA"/>
                <w:sz w:val="16"/>
                <w:szCs w:val="16"/>
              </w:rPr>
              <w:t>savings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Moderate </w:t>
            </w:r>
            <w:proofErr w:type="spellStart"/>
            <w:r>
              <w:rPr>
                <w:rFonts w:ascii="Calibri" w:hAnsi="Calibri" w:cs="Calibri"/>
                <w:color w:val="AEAAAA"/>
                <w:sz w:val="16"/>
                <w:szCs w:val="16"/>
              </w:rPr>
              <w:t>savings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Large </w:t>
            </w:r>
            <w:proofErr w:type="spellStart"/>
            <w:r>
              <w:rPr>
                <w:rFonts w:ascii="Calibri" w:hAnsi="Calibri" w:cs="Calibri"/>
                <w:color w:val="AEAAAA"/>
                <w:sz w:val="16"/>
                <w:szCs w:val="16"/>
              </w:rPr>
              <w:t>savings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Don't</w:t>
            </w:r>
            <w:proofErr w:type="spellEnd"/>
            <w:r>
              <w:rPr>
                <w:rFonts w:ascii="Calibri" w:hAnsi="Calibri" w:cs="Calibri"/>
                <w:b/>
                <w:bCs/>
                <w:color w:val="000000"/>
                <w:sz w:val="16"/>
                <w:szCs w:val="16"/>
              </w:rPr>
              <w:t xml:space="preserve">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Very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low</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 xml:space="preserve">No </w:t>
            </w:r>
            <w:proofErr w:type="spellStart"/>
            <w:r>
              <w:rPr>
                <w:rFonts w:ascii="Calibri" w:hAnsi="Calibri" w:cs="Calibri"/>
                <w:b/>
                <w:bCs/>
                <w:color w:val="000000"/>
                <w:sz w:val="16"/>
                <w:szCs w:val="16"/>
              </w:rPr>
              <w:t>included</w:t>
            </w:r>
            <w:proofErr w:type="spellEnd"/>
            <w:r>
              <w:rPr>
                <w:rFonts w:ascii="Calibri" w:hAnsi="Calibri" w:cs="Calibri"/>
                <w:b/>
                <w:bCs/>
                <w:color w:val="000000"/>
                <w:sz w:val="16"/>
                <w:szCs w:val="16"/>
              </w:rPr>
              <w:t xml:space="preserve">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w:t>
            </w:r>
            <w:proofErr w:type="spellStart"/>
            <w:r>
              <w:rPr>
                <w:rFonts w:ascii="Calibri" w:hAnsi="Calibri" w:cs="Calibri"/>
                <w:color w:val="AEAAAA"/>
                <w:sz w:val="16"/>
                <w:szCs w:val="16"/>
              </w:rPr>
              <w:t>comparison</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w:t>
            </w:r>
            <w:proofErr w:type="spellStart"/>
            <w:r>
              <w:rPr>
                <w:rFonts w:ascii="Calibri" w:hAnsi="Calibri" w:cs="Calibri"/>
                <w:color w:val="AEAAAA"/>
                <w:sz w:val="16"/>
                <w:szCs w:val="16"/>
              </w:rPr>
              <w:t>comparison</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 xml:space="preserve">No </w:t>
            </w:r>
            <w:proofErr w:type="spellStart"/>
            <w:r>
              <w:rPr>
                <w:rFonts w:ascii="Calibri" w:hAnsi="Calibri" w:cs="Calibri"/>
                <w:b/>
                <w:bCs/>
                <w:color w:val="000000"/>
                <w:sz w:val="16"/>
                <w:szCs w:val="16"/>
              </w:rPr>
              <w:t>included</w:t>
            </w:r>
            <w:proofErr w:type="spellEnd"/>
            <w:r>
              <w:rPr>
                <w:rFonts w:ascii="Calibri" w:hAnsi="Calibri" w:cs="Calibri"/>
                <w:b/>
                <w:bCs/>
                <w:color w:val="000000"/>
                <w:sz w:val="16"/>
                <w:szCs w:val="16"/>
              </w:rPr>
              <w:t xml:space="preserve">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Reduced</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reduced</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no</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impact</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increased</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Increased</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Don't</w:t>
            </w:r>
            <w:proofErr w:type="spellEnd"/>
            <w:r>
              <w:rPr>
                <w:rFonts w:ascii="Calibri" w:hAnsi="Calibri" w:cs="Calibri"/>
                <w:b/>
                <w:bCs/>
                <w:color w:val="000000"/>
                <w:sz w:val="16"/>
                <w:szCs w:val="16"/>
              </w:rPr>
              <w:t xml:space="preserve">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no</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Probably</w:t>
            </w:r>
            <w:proofErr w:type="spellEnd"/>
            <w:r>
              <w:rPr>
                <w:rFonts w:ascii="Calibri" w:hAnsi="Calibri" w:cs="Calibri"/>
                <w:b/>
                <w:bCs/>
                <w:color w:val="000000"/>
                <w:sz w:val="16"/>
                <w:szCs w:val="16"/>
              </w:rPr>
              <w:t xml:space="preserve"> </w:t>
            </w:r>
            <w:proofErr w:type="spellStart"/>
            <w:r>
              <w:rPr>
                <w:rFonts w:ascii="Calibri" w:hAnsi="Calibri" w:cs="Calibri"/>
                <w:b/>
                <w:bCs/>
                <w:color w:val="000000"/>
                <w:sz w:val="16"/>
                <w:szCs w:val="16"/>
              </w:rPr>
              <w:t>yes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Don't</w:t>
            </w:r>
            <w:proofErr w:type="spellEnd"/>
            <w:r>
              <w:rPr>
                <w:rFonts w:ascii="Calibri" w:hAnsi="Calibri" w:cs="Calibri"/>
                <w:color w:val="AEAAAA"/>
                <w:sz w:val="16"/>
                <w:szCs w:val="16"/>
              </w:rPr>
              <w:t xml:space="preserve">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no</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Probably</w:t>
            </w:r>
            <w:proofErr w:type="spellEnd"/>
            <w:r>
              <w:rPr>
                <w:rFonts w:ascii="Calibri" w:hAnsi="Calibri" w:cs="Calibri"/>
                <w:b/>
                <w:bCs/>
                <w:color w:val="000000"/>
                <w:sz w:val="16"/>
                <w:szCs w:val="16"/>
              </w:rPr>
              <w:t xml:space="preserve"> </w:t>
            </w:r>
            <w:proofErr w:type="spellStart"/>
            <w:r>
              <w:rPr>
                <w:rFonts w:ascii="Calibri" w:hAnsi="Calibri" w:cs="Calibri"/>
                <w:b/>
                <w:bCs/>
                <w:color w:val="000000"/>
                <w:sz w:val="16"/>
                <w:szCs w:val="16"/>
              </w:rPr>
              <w:t>yes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Don't</w:t>
            </w:r>
            <w:proofErr w:type="spellEnd"/>
            <w:r>
              <w:rPr>
                <w:rFonts w:ascii="Calibri" w:hAnsi="Calibri" w:cs="Calibri"/>
                <w:color w:val="AEAAAA"/>
                <w:sz w:val="16"/>
                <w:szCs w:val="16"/>
              </w:rPr>
              <w:t xml:space="preserve">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567F218B" w14:textId="77777777"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0526C3" w:rsidRPr="00A96752" w14:paraId="394DC68C" w14:textId="77777777" w:rsidTr="008A5E4F">
        <w:trPr>
          <w:divId w:val="364672090"/>
        </w:trPr>
        <w:tc>
          <w:tcPr>
            <w:tcW w:w="1000" w:type="pct"/>
            <w:tcMar>
              <w:top w:w="75" w:type="dxa"/>
              <w:left w:w="0" w:type="dxa"/>
              <w:bottom w:w="0" w:type="dxa"/>
              <w:right w:w="0" w:type="dxa"/>
            </w:tcMar>
            <w:hideMark/>
          </w:tcPr>
          <w:p w14:paraId="6636BF6A"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8A5E4F" w:rsidRDefault="00045AFF">
            <w:pPr>
              <w:pStyle w:val="NormalWeb"/>
              <w:spacing w:before="0" w:beforeAutospacing="0" w:after="0" w:afterAutospacing="0"/>
              <w:jc w:val="center"/>
              <w:rPr>
                <w:rFonts w:ascii="Calibri" w:hAnsi="Calibri" w:cs="Calibri"/>
                <w:b/>
                <w:bCs/>
                <w:color w:val="FFFFFF"/>
                <w:sz w:val="16"/>
                <w:szCs w:val="16"/>
                <w:lang w:val="en-US"/>
              </w:rPr>
            </w:pPr>
            <w:r w:rsidRPr="008A5E4F">
              <w:rPr>
                <w:rFonts w:ascii="Calibri" w:hAnsi="Calibri" w:cs="Calibri"/>
                <w:b/>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Conditional recommendation for either the intervention or the comparison</w:t>
            </w:r>
          </w:p>
        </w:tc>
        <w:tc>
          <w:tcPr>
            <w:tcW w:w="1000" w:type="pct"/>
            <w:tcBorders>
              <w:bottom w:val="nil"/>
            </w:tcBorders>
            <w:tcMar>
              <w:top w:w="75" w:type="dxa"/>
              <w:left w:w="0" w:type="dxa"/>
              <w:bottom w:w="0" w:type="dxa"/>
              <w:right w:w="0" w:type="dxa"/>
            </w:tcMar>
            <w:hideMark/>
          </w:tcPr>
          <w:p w14:paraId="3EDFBA9F"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Strong recommendation for the intervention</w:t>
            </w:r>
          </w:p>
        </w:tc>
      </w:tr>
      <w:tr w:rsidR="000526C3" w14:paraId="0723B9D0" w14:textId="77777777" w:rsidTr="008A5E4F">
        <w:trPr>
          <w:divId w:val="364672090"/>
        </w:trPr>
        <w:tc>
          <w:tcPr>
            <w:tcW w:w="1000" w:type="pct"/>
            <w:tcMar>
              <w:top w:w="0" w:type="dxa"/>
              <w:left w:w="0" w:type="dxa"/>
              <w:bottom w:w="75" w:type="dxa"/>
              <w:right w:w="0" w:type="dxa"/>
            </w:tcMar>
            <w:hideMark/>
          </w:tcPr>
          <w:p w14:paraId="77C6CD09" w14:textId="77777777" w:rsidR="000526C3" w:rsidRDefault="00045AFF">
            <w:pPr>
              <w:pStyle w:val="marker"/>
              <w:spacing w:before="0" w:beforeAutospacing="0" w:after="0" w:afterAutospacing="0"/>
              <w:jc w:val="center"/>
              <w:rPr>
                <w:color w:val="000000"/>
              </w:rPr>
            </w:pPr>
            <w:r>
              <w:rPr>
                <w:color w:val="000000"/>
              </w:rPr>
              <w:lastRenderedPageBreak/>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7777777" w:rsidR="000526C3" w:rsidRPr="008A5E4F" w:rsidRDefault="00045AFF">
            <w:pPr>
              <w:pStyle w:val="marker"/>
              <w:spacing w:before="0" w:beforeAutospacing="0" w:after="0" w:afterAutospacing="0"/>
              <w:jc w:val="center"/>
              <w:rPr>
                <w:b/>
                <w:bCs/>
                <w:color w:val="FFFFFF"/>
              </w:rPr>
            </w:pPr>
            <w:r w:rsidRPr="008A5E4F">
              <w:rPr>
                <w:b/>
                <w:bCs/>
                <w:color w:val="FFFFFF"/>
              </w:rPr>
              <w:t xml:space="preserve">● </w:t>
            </w:r>
          </w:p>
        </w:tc>
        <w:tc>
          <w:tcPr>
            <w:tcW w:w="1000" w:type="pct"/>
            <w:tcMar>
              <w:top w:w="0" w:type="dxa"/>
              <w:left w:w="0" w:type="dxa"/>
              <w:bottom w:w="75" w:type="dxa"/>
              <w:right w:w="0" w:type="dxa"/>
            </w:tcMar>
            <w:hideMark/>
          </w:tcPr>
          <w:p w14:paraId="5323A754"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Borders>
              <w:top w:val="nil"/>
              <w:bottom w:val="single" w:sz="6" w:space="0" w:color="000000"/>
            </w:tcBorders>
            <w:shd w:val="clear" w:color="auto" w:fill="4472C4" w:themeFill="accent1"/>
            <w:tcMar>
              <w:top w:w="0" w:type="dxa"/>
              <w:left w:w="0" w:type="dxa"/>
              <w:bottom w:w="75" w:type="dxa"/>
              <w:right w:w="0" w:type="dxa"/>
            </w:tcMar>
            <w:hideMark/>
          </w:tcPr>
          <w:p w14:paraId="19D71D15"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divId w:val="173952287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4132F34D" w14:textId="77777777">
        <w:trPr>
          <w:divId w:val="1858082648"/>
        </w:trPr>
        <w:tc>
          <w:tcPr>
            <w:tcW w:w="0" w:type="auto"/>
            <w:shd w:val="clear" w:color="auto" w:fill="2E74B5"/>
            <w:tcMar>
              <w:top w:w="75" w:type="dxa"/>
              <w:left w:w="75" w:type="dxa"/>
              <w:bottom w:w="75" w:type="dxa"/>
              <w:right w:w="75" w:type="dxa"/>
            </w:tcMar>
            <w:hideMark/>
          </w:tcPr>
          <w:p w14:paraId="75A11F19" w14:textId="77777777" w:rsidR="000526C3" w:rsidRDefault="00045AFF">
            <w:pPr>
              <w:pStyle w:val="Heading2"/>
              <w:spacing w:before="0" w:beforeAutospacing="0" w:after="0" w:afterAutospacing="0"/>
              <w:rPr>
                <w:rFonts w:ascii="Calibri" w:eastAsia="Times New Roman" w:hAnsi="Calibri" w:cs="Calibri"/>
                <w:color w:val="FFFFFF"/>
                <w:sz w:val="26"/>
                <w:szCs w:val="26"/>
              </w:rPr>
            </w:pPr>
            <w:proofErr w:type="spellStart"/>
            <w:r>
              <w:rPr>
                <w:rFonts w:ascii="Calibri" w:eastAsia="Times New Roman" w:hAnsi="Calibri" w:cs="Calibri"/>
                <w:color w:val="FFFFFF"/>
                <w:sz w:val="26"/>
                <w:szCs w:val="26"/>
              </w:rPr>
              <w:t>Recommendation</w:t>
            </w:r>
            <w:proofErr w:type="spellEnd"/>
          </w:p>
        </w:tc>
      </w:tr>
      <w:tr w:rsidR="000526C3" w:rsidRPr="00E15C18" w14:paraId="3C9D40AB" w14:textId="77777777">
        <w:trPr>
          <w:divId w:val="1858082648"/>
        </w:trPr>
        <w:tc>
          <w:tcPr>
            <w:tcW w:w="0" w:type="auto"/>
            <w:tcMar>
              <w:top w:w="0" w:type="dxa"/>
              <w:left w:w="0" w:type="dxa"/>
              <w:bottom w:w="0" w:type="dxa"/>
              <w:right w:w="0" w:type="dxa"/>
            </w:tcMar>
            <w:hideMark/>
          </w:tcPr>
          <w:p w14:paraId="7E473A5F" w14:textId="77777777" w:rsidR="00E15C18" w:rsidRPr="00E15C18" w:rsidRDefault="00E15C18" w:rsidP="00E15C18">
            <w:pPr>
              <w:rPr>
                <w:sz w:val="16"/>
                <w:szCs w:val="16"/>
              </w:rPr>
            </w:pPr>
            <w:proofErr w:type="spellStart"/>
            <w:r w:rsidRPr="00E15C18">
              <w:rPr>
                <w:sz w:val="16"/>
                <w:szCs w:val="16"/>
              </w:rPr>
              <w:t>We</w:t>
            </w:r>
            <w:proofErr w:type="spellEnd"/>
            <w:r w:rsidRPr="00E15C18">
              <w:rPr>
                <w:sz w:val="16"/>
                <w:szCs w:val="16"/>
              </w:rPr>
              <w:t xml:space="preserve"> suggest </w:t>
            </w:r>
            <w:proofErr w:type="spellStart"/>
            <w:r w:rsidRPr="00E15C18">
              <w:rPr>
                <w:sz w:val="16"/>
                <w:szCs w:val="16"/>
              </w:rPr>
              <w:t>that</w:t>
            </w:r>
            <w:proofErr w:type="spellEnd"/>
            <w:r w:rsidRPr="00E15C18">
              <w:rPr>
                <w:sz w:val="16"/>
                <w:szCs w:val="16"/>
              </w:rPr>
              <w:t xml:space="preserve"> </w:t>
            </w:r>
            <w:proofErr w:type="spellStart"/>
            <w:r w:rsidRPr="00E15C18">
              <w:rPr>
                <w:sz w:val="16"/>
                <w:szCs w:val="16"/>
              </w:rPr>
              <w:t>rescuers</w:t>
            </w:r>
            <w:proofErr w:type="spellEnd"/>
            <w:r w:rsidRPr="00E15C18">
              <w:rPr>
                <w:sz w:val="16"/>
                <w:szCs w:val="16"/>
              </w:rPr>
              <w:t xml:space="preserve"> measure PaO2 </w:t>
            </w:r>
            <w:proofErr w:type="spellStart"/>
            <w:r w:rsidRPr="00E15C18">
              <w:rPr>
                <w:sz w:val="16"/>
                <w:szCs w:val="16"/>
              </w:rPr>
              <w:t>after</w:t>
            </w:r>
            <w:proofErr w:type="spellEnd"/>
            <w:r w:rsidRPr="00E15C18">
              <w:rPr>
                <w:sz w:val="16"/>
                <w:szCs w:val="16"/>
              </w:rPr>
              <w:t xml:space="preserve"> </w:t>
            </w:r>
            <w:proofErr w:type="gramStart"/>
            <w:r w:rsidRPr="00E15C18">
              <w:rPr>
                <w:sz w:val="16"/>
                <w:szCs w:val="16"/>
              </w:rPr>
              <w:t>ROSC and</w:t>
            </w:r>
            <w:proofErr w:type="gramEnd"/>
            <w:r w:rsidRPr="00E15C18">
              <w:rPr>
                <w:sz w:val="16"/>
                <w:szCs w:val="16"/>
              </w:rPr>
              <w:t xml:space="preserve"> </w:t>
            </w:r>
            <w:proofErr w:type="spellStart"/>
            <w:r w:rsidRPr="00E15C18">
              <w:rPr>
                <w:sz w:val="16"/>
                <w:szCs w:val="16"/>
              </w:rPr>
              <w:t>target</w:t>
            </w:r>
            <w:proofErr w:type="spellEnd"/>
            <w:r w:rsidRPr="00E15C18">
              <w:rPr>
                <w:sz w:val="16"/>
                <w:szCs w:val="16"/>
              </w:rPr>
              <w:t xml:space="preserve"> a </w:t>
            </w:r>
            <w:proofErr w:type="spellStart"/>
            <w:r w:rsidRPr="00E15C18">
              <w:rPr>
                <w:sz w:val="16"/>
                <w:szCs w:val="16"/>
              </w:rPr>
              <w:t>value</w:t>
            </w:r>
            <w:proofErr w:type="spellEnd"/>
            <w:r w:rsidRPr="00E15C18">
              <w:rPr>
                <w:sz w:val="16"/>
                <w:szCs w:val="16"/>
              </w:rPr>
              <w:t xml:space="preserve"> </w:t>
            </w:r>
            <w:proofErr w:type="spellStart"/>
            <w:r w:rsidRPr="00E15C18">
              <w:rPr>
                <w:sz w:val="16"/>
                <w:szCs w:val="16"/>
              </w:rPr>
              <w:t>appropriate</w:t>
            </w:r>
            <w:proofErr w:type="spellEnd"/>
            <w:r w:rsidRPr="00E15C18">
              <w:rPr>
                <w:sz w:val="16"/>
                <w:szCs w:val="16"/>
              </w:rPr>
              <w:t xml:space="preserve"> to the </w:t>
            </w:r>
            <w:proofErr w:type="spellStart"/>
            <w:r w:rsidRPr="00E15C18">
              <w:rPr>
                <w:sz w:val="16"/>
                <w:szCs w:val="16"/>
              </w:rPr>
              <w:t>specific</w:t>
            </w:r>
            <w:proofErr w:type="spellEnd"/>
            <w:r w:rsidRPr="00E15C18">
              <w:rPr>
                <w:sz w:val="16"/>
                <w:szCs w:val="16"/>
              </w:rPr>
              <w:t xml:space="preserve"> patient </w:t>
            </w:r>
            <w:proofErr w:type="spellStart"/>
            <w:r w:rsidRPr="00E15C18">
              <w:rPr>
                <w:sz w:val="16"/>
                <w:szCs w:val="16"/>
              </w:rPr>
              <w:t>condition</w:t>
            </w:r>
            <w:proofErr w:type="spellEnd"/>
            <w:r w:rsidRPr="00E15C18">
              <w:rPr>
                <w:sz w:val="16"/>
                <w:szCs w:val="16"/>
              </w:rPr>
              <w:t xml:space="preserve">. In the absence of </w:t>
            </w:r>
            <w:proofErr w:type="spellStart"/>
            <w:r w:rsidRPr="00E15C18">
              <w:rPr>
                <w:sz w:val="16"/>
                <w:szCs w:val="16"/>
              </w:rPr>
              <w:t>specific</w:t>
            </w:r>
            <w:proofErr w:type="spellEnd"/>
            <w:r w:rsidRPr="00E15C18">
              <w:rPr>
                <w:sz w:val="16"/>
                <w:szCs w:val="16"/>
              </w:rPr>
              <w:t xml:space="preserve"> patient data, </w:t>
            </w:r>
            <w:proofErr w:type="spellStart"/>
            <w:r w:rsidRPr="00E15C18">
              <w:rPr>
                <w:sz w:val="16"/>
                <w:szCs w:val="16"/>
              </w:rPr>
              <w:t>we</w:t>
            </w:r>
            <w:proofErr w:type="spellEnd"/>
            <w:r w:rsidRPr="00E15C18">
              <w:rPr>
                <w:sz w:val="16"/>
                <w:szCs w:val="16"/>
              </w:rPr>
              <w:t xml:space="preserve"> suggest </w:t>
            </w:r>
            <w:proofErr w:type="spellStart"/>
            <w:r w:rsidRPr="00E15C18">
              <w:rPr>
                <w:sz w:val="16"/>
                <w:szCs w:val="16"/>
              </w:rPr>
              <w:t>rescuers</w:t>
            </w:r>
            <w:proofErr w:type="spellEnd"/>
            <w:r w:rsidRPr="00E15C18">
              <w:rPr>
                <w:sz w:val="16"/>
                <w:szCs w:val="16"/>
              </w:rPr>
              <w:t xml:space="preserve"> </w:t>
            </w:r>
            <w:proofErr w:type="spellStart"/>
            <w:r w:rsidRPr="00E15C18">
              <w:rPr>
                <w:sz w:val="16"/>
                <w:szCs w:val="16"/>
              </w:rPr>
              <w:t>target</w:t>
            </w:r>
            <w:proofErr w:type="spellEnd"/>
            <w:r w:rsidRPr="00E15C18">
              <w:rPr>
                <w:sz w:val="16"/>
                <w:szCs w:val="16"/>
              </w:rPr>
              <w:t xml:space="preserve"> </w:t>
            </w:r>
            <w:proofErr w:type="spellStart"/>
            <w:r w:rsidRPr="00E15C18">
              <w:rPr>
                <w:sz w:val="16"/>
                <w:szCs w:val="16"/>
              </w:rPr>
              <w:t>normoxemia</w:t>
            </w:r>
            <w:proofErr w:type="spellEnd"/>
            <w:r w:rsidRPr="00E15C18">
              <w:rPr>
                <w:sz w:val="16"/>
                <w:szCs w:val="16"/>
              </w:rPr>
              <w:t xml:space="preserve"> </w:t>
            </w:r>
            <w:proofErr w:type="spellStart"/>
            <w:r w:rsidRPr="00E15C18">
              <w:rPr>
                <w:sz w:val="16"/>
                <w:szCs w:val="16"/>
              </w:rPr>
              <w:t>after</w:t>
            </w:r>
            <w:proofErr w:type="spellEnd"/>
            <w:r w:rsidRPr="00E15C18">
              <w:rPr>
                <w:sz w:val="16"/>
                <w:szCs w:val="16"/>
              </w:rPr>
              <w:t xml:space="preserve"> ROSC (</w:t>
            </w:r>
            <w:proofErr w:type="spellStart"/>
            <w:r w:rsidRPr="00E15C18">
              <w:rPr>
                <w:sz w:val="16"/>
                <w:szCs w:val="16"/>
              </w:rPr>
              <w:t>weak</w:t>
            </w:r>
            <w:proofErr w:type="spellEnd"/>
            <w:r w:rsidRPr="00E15C18">
              <w:rPr>
                <w:sz w:val="16"/>
                <w:szCs w:val="16"/>
              </w:rPr>
              <w:t xml:space="preserve"> </w:t>
            </w:r>
            <w:proofErr w:type="spellStart"/>
            <w:r w:rsidRPr="00E15C18">
              <w:rPr>
                <w:sz w:val="16"/>
                <w:szCs w:val="16"/>
              </w:rPr>
              <w:t>recommendation</w:t>
            </w:r>
            <w:proofErr w:type="spellEnd"/>
            <w:r w:rsidRPr="00E15C18">
              <w:rPr>
                <w:sz w:val="16"/>
                <w:szCs w:val="16"/>
              </w:rPr>
              <w:t xml:space="preserve">, </w:t>
            </w:r>
            <w:proofErr w:type="spellStart"/>
            <w:r w:rsidRPr="00E15C18">
              <w:rPr>
                <w:sz w:val="16"/>
                <w:szCs w:val="16"/>
              </w:rPr>
              <w:t>very-low-quality</w:t>
            </w:r>
            <w:proofErr w:type="spellEnd"/>
            <w:r w:rsidRPr="00E15C18">
              <w:rPr>
                <w:sz w:val="16"/>
                <w:szCs w:val="16"/>
              </w:rPr>
              <w:t xml:space="preserve"> </w:t>
            </w:r>
            <w:proofErr w:type="spellStart"/>
            <w:r w:rsidRPr="00E15C18">
              <w:rPr>
                <w:sz w:val="16"/>
                <w:szCs w:val="16"/>
              </w:rPr>
              <w:t>evidence</w:t>
            </w:r>
            <w:proofErr w:type="spellEnd"/>
            <w:r w:rsidRPr="00E15C18">
              <w:rPr>
                <w:sz w:val="16"/>
                <w:szCs w:val="16"/>
              </w:rPr>
              <w:t xml:space="preserve">). Given the </w:t>
            </w:r>
            <w:proofErr w:type="spellStart"/>
            <w:r w:rsidRPr="00E15C18">
              <w:rPr>
                <w:sz w:val="16"/>
                <w:szCs w:val="16"/>
              </w:rPr>
              <w:t>availability</w:t>
            </w:r>
            <w:proofErr w:type="spellEnd"/>
            <w:r w:rsidRPr="00E15C18">
              <w:rPr>
                <w:sz w:val="16"/>
                <w:szCs w:val="16"/>
              </w:rPr>
              <w:t xml:space="preserve"> of </w:t>
            </w:r>
            <w:proofErr w:type="spellStart"/>
            <w:r w:rsidRPr="00E15C18">
              <w:rPr>
                <w:sz w:val="16"/>
                <w:szCs w:val="16"/>
              </w:rPr>
              <w:t>continuous</w:t>
            </w:r>
            <w:proofErr w:type="spellEnd"/>
            <w:r w:rsidRPr="00E15C18">
              <w:rPr>
                <w:sz w:val="16"/>
                <w:szCs w:val="16"/>
              </w:rPr>
              <w:t xml:space="preserve"> pulse </w:t>
            </w:r>
            <w:proofErr w:type="spellStart"/>
            <w:r w:rsidRPr="00E15C18">
              <w:rPr>
                <w:sz w:val="16"/>
                <w:szCs w:val="16"/>
              </w:rPr>
              <w:t>oximetry</w:t>
            </w:r>
            <w:proofErr w:type="spellEnd"/>
            <w:r w:rsidRPr="00E15C18">
              <w:rPr>
                <w:sz w:val="16"/>
                <w:szCs w:val="16"/>
              </w:rPr>
              <w:t xml:space="preserve">, </w:t>
            </w:r>
            <w:proofErr w:type="spellStart"/>
            <w:r w:rsidRPr="00E15C18">
              <w:rPr>
                <w:sz w:val="16"/>
                <w:szCs w:val="16"/>
              </w:rPr>
              <w:t>targeting</w:t>
            </w:r>
            <w:proofErr w:type="spellEnd"/>
            <w:r w:rsidRPr="00E15C18">
              <w:rPr>
                <w:sz w:val="16"/>
                <w:szCs w:val="16"/>
              </w:rPr>
              <w:t xml:space="preserve"> an oxygen </w:t>
            </w:r>
            <w:proofErr w:type="spellStart"/>
            <w:r w:rsidRPr="00E15C18">
              <w:rPr>
                <w:sz w:val="16"/>
                <w:szCs w:val="16"/>
              </w:rPr>
              <w:t>saturation</w:t>
            </w:r>
            <w:proofErr w:type="spellEnd"/>
            <w:r w:rsidRPr="00E15C18">
              <w:rPr>
                <w:sz w:val="16"/>
                <w:szCs w:val="16"/>
              </w:rPr>
              <w:t xml:space="preserve"> of 94-99% </w:t>
            </w:r>
            <w:proofErr w:type="spellStart"/>
            <w:r w:rsidRPr="00E15C18">
              <w:rPr>
                <w:sz w:val="16"/>
                <w:szCs w:val="16"/>
              </w:rPr>
              <w:t>may</w:t>
            </w:r>
            <w:proofErr w:type="spellEnd"/>
            <w:r w:rsidRPr="00E15C18">
              <w:rPr>
                <w:sz w:val="16"/>
                <w:szCs w:val="16"/>
              </w:rPr>
              <w:t xml:space="preserve"> </w:t>
            </w:r>
            <w:proofErr w:type="spellStart"/>
            <w:r w:rsidRPr="00E15C18">
              <w:rPr>
                <w:sz w:val="16"/>
                <w:szCs w:val="16"/>
              </w:rPr>
              <w:t>be</w:t>
            </w:r>
            <w:proofErr w:type="spellEnd"/>
            <w:r w:rsidRPr="00E15C18">
              <w:rPr>
                <w:sz w:val="16"/>
                <w:szCs w:val="16"/>
              </w:rPr>
              <w:t xml:space="preserve"> a </w:t>
            </w:r>
            <w:proofErr w:type="spellStart"/>
            <w:r w:rsidRPr="00E15C18">
              <w:rPr>
                <w:sz w:val="16"/>
                <w:szCs w:val="16"/>
              </w:rPr>
              <w:t>reasonable</w:t>
            </w:r>
            <w:proofErr w:type="spellEnd"/>
            <w:r w:rsidRPr="00E15C18">
              <w:rPr>
                <w:sz w:val="16"/>
                <w:szCs w:val="16"/>
              </w:rPr>
              <w:t xml:space="preserve"> alternative to </w:t>
            </w:r>
            <w:proofErr w:type="spellStart"/>
            <w:r w:rsidRPr="00E15C18">
              <w:rPr>
                <w:sz w:val="16"/>
                <w:szCs w:val="16"/>
              </w:rPr>
              <w:t>measuring</w:t>
            </w:r>
            <w:proofErr w:type="spellEnd"/>
            <w:r w:rsidRPr="00E15C18">
              <w:rPr>
                <w:sz w:val="16"/>
                <w:szCs w:val="16"/>
              </w:rPr>
              <w:t xml:space="preserve"> PaO2 and </w:t>
            </w:r>
            <w:proofErr w:type="spellStart"/>
            <w:r w:rsidRPr="00E15C18">
              <w:rPr>
                <w:sz w:val="16"/>
                <w:szCs w:val="16"/>
              </w:rPr>
              <w:t>titrating</w:t>
            </w:r>
            <w:proofErr w:type="spellEnd"/>
            <w:r w:rsidRPr="00E15C18">
              <w:rPr>
                <w:sz w:val="16"/>
                <w:szCs w:val="16"/>
              </w:rPr>
              <w:t xml:space="preserve"> oxygen </w:t>
            </w:r>
            <w:proofErr w:type="spellStart"/>
            <w:r w:rsidRPr="00E15C18">
              <w:rPr>
                <w:sz w:val="16"/>
                <w:szCs w:val="16"/>
              </w:rPr>
              <w:t>when</w:t>
            </w:r>
            <w:proofErr w:type="spellEnd"/>
            <w:r w:rsidRPr="00E15C18">
              <w:rPr>
                <w:sz w:val="16"/>
                <w:szCs w:val="16"/>
              </w:rPr>
              <w:t xml:space="preserve"> </w:t>
            </w:r>
            <w:proofErr w:type="spellStart"/>
            <w:r w:rsidRPr="00E15C18">
              <w:rPr>
                <w:sz w:val="16"/>
                <w:szCs w:val="16"/>
              </w:rPr>
              <w:t>feasible</w:t>
            </w:r>
            <w:proofErr w:type="spellEnd"/>
            <w:r w:rsidRPr="00E15C18">
              <w:rPr>
                <w:sz w:val="16"/>
                <w:szCs w:val="16"/>
              </w:rPr>
              <w:t xml:space="preserve"> to </w:t>
            </w:r>
            <w:proofErr w:type="spellStart"/>
            <w:r w:rsidRPr="00E15C18">
              <w:rPr>
                <w:sz w:val="16"/>
                <w:szCs w:val="16"/>
              </w:rPr>
              <w:t>achieve</w:t>
            </w:r>
            <w:proofErr w:type="spellEnd"/>
            <w:r w:rsidRPr="00E15C18">
              <w:rPr>
                <w:sz w:val="16"/>
                <w:szCs w:val="16"/>
              </w:rPr>
              <w:t xml:space="preserve"> </w:t>
            </w:r>
            <w:proofErr w:type="spellStart"/>
            <w:r w:rsidRPr="00E15C18">
              <w:rPr>
                <w:sz w:val="16"/>
                <w:szCs w:val="16"/>
              </w:rPr>
              <w:t>normoxia</w:t>
            </w:r>
            <w:proofErr w:type="spellEnd"/>
            <w:r w:rsidRPr="00E15C18">
              <w:rPr>
                <w:sz w:val="16"/>
                <w:szCs w:val="16"/>
              </w:rPr>
              <w:t>.</w:t>
            </w:r>
          </w:p>
          <w:p w14:paraId="7C2899B2" w14:textId="05CE8FD6" w:rsidR="00452EFB" w:rsidRPr="00E15C18" w:rsidRDefault="00452EFB">
            <w:pPr>
              <w:rPr>
                <w:rFonts w:ascii="Calibri" w:eastAsia="Times New Roman" w:hAnsi="Calibri" w:cs="Calibri"/>
                <w:sz w:val="16"/>
                <w:szCs w:val="16"/>
                <w:lang w:val="en-US"/>
              </w:rPr>
            </w:pPr>
          </w:p>
        </w:tc>
      </w:tr>
    </w:tbl>
    <w:p w14:paraId="77C6B576" w14:textId="77777777" w:rsidR="000526C3" w:rsidRPr="00E15C18" w:rsidRDefault="000526C3">
      <w:pPr>
        <w:divId w:val="1858082648"/>
        <w:rPr>
          <w:rFonts w:ascii="Calibri" w:eastAsia="Times New Roman" w:hAnsi="Calibri" w:cs="Calibri"/>
          <w:vanish/>
          <w:color w:val="000000"/>
          <w:sz w:val="16"/>
          <w:szCs w:val="16"/>
          <w:lang w:val="en"/>
        </w:rPr>
      </w:pPr>
    </w:p>
    <w:p w14:paraId="1D2C6BCD" w14:textId="77777777" w:rsidR="00CD2D3A" w:rsidRPr="00E15C18" w:rsidRDefault="00CD2D3A">
      <w:pPr>
        <w:divId w:val="1858082648"/>
        <w:rPr>
          <w:rFonts w:ascii="Calibri" w:eastAsia="Times New Roman" w:hAnsi="Calibri" w:cs="Calibri"/>
          <w:vanish/>
          <w:color w:val="000000"/>
          <w:sz w:val="16"/>
          <w:szCs w:val="16"/>
          <w:lang w:val="en"/>
        </w:rPr>
      </w:pPr>
    </w:p>
    <w:p w14:paraId="4C305BBB" w14:textId="77777777" w:rsidR="00CD2D3A" w:rsidRPr="00E15C18" w:rsidRDefault="00CD2D3A">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rsidRPr="00E15C18" w14:paraId="76FE742C" w14:textId="77777777">
        <w:trPr>
          <w:divId w:val="1858082648"/>
        </w:trPr>
        <w:tc>
          <w:tcPr>
            <w:tcW w:w="0" w:type="auto"/>
            <w:shd w:val="clear" w:color="auto" w:fill="2E74B5"/>
            <w:tcMar>
              <w:top w:w="75" w:type="dxa"/>
              <w:left w:w="75" w:type="dxa"/>
              <w:bottom w:w="75" w:type="dxa"/>
              <w:right w:w="75" w:type="dxa"/>
            </w:tcMar>
            <w:hideMark/>
          </w:tcPr>
          <w:p w14:paraId="763C00FA" w14:textId="77777777" w:rsidR="000526C3" w:rsidRPr="00E15C18" w:rsidRDefault="00045AFF">
            <w:pPr>
              <w:pStyle w:val="Heading2"/>
              <w:spacing w:before="0" w:beforeAutospacing="0" w:after="0" w:afterAutospacing="0"/>
              <w:rPr>
                <w:rFonts w:ascii="Calibri" w:eastAsia="Times New Roman" w:hAnsi="Calibri" w:cs="Calibri"/>
                <w:color w:val="FFFFFF"/>
                <w:sz w:val="16"/>
                <w:szCs w:val="16"/>
              </w:rPr>
            </w:pPr>
            <w:proofErr w:type="spellStart"/>
            <w:r w:rsidRPr="00E15C18">
              <w:rPr>
                <w:rFonts w:ascii="Calibri" w:eastAsia="Times New Roman" w:hAnsi="Calibri" w:cs="Calibri"/>
                <w:color w:val="FFFFFF"/>
                <w:sz w:val="16"/>
                <w:szCs w:val="16"/>
              </w:rPr>
              <w:t>Justification</w:t>
            </w:r>
            <w:proofErr w:type="spellEnd"/>
          </w:p>
        </w:tc>
      </w:tr>
      <w:tr w:rsidR="000526C3" w:rsidRPr="00A96752" w14:paraId="1169A6AC" w14:textId="77777777">
        <w:trPr>
          <w:divId w:val="1858082648"/>
          <w:trHeight w:val="1080"/>
        </w:trPr>
        <w:tc>
          <w:tcPr>
            <w:tcW w:w="0" w:type="auto"/>
            <w:tcMar>
              <w:top w:w="75" w:type="dxa"/>
              <w:left w:w="75" w:type="dxa"/>
              <w:bottom w:w="75" w:type="dxa"/>
              <w:right w:w="75" w:type="dxa"/>
            </w:tcMar>
            <w:hideMark/>
          </w:tcPr>
          <w:p w14:paraId="4909A0C6" w14:textId="73800D3E" w:rsidR="000526C3" w:rsidRPr="00CD2D3A" w:rsidRDefault="00045AFF">
            <w:pPr>
              <w:divId w:val="410663818"/>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 </w:t>
            </w:r>
            <w:r w:rsidR="000264CE">
              <w:rPr>
                <w:rFonts w:ascii="Calibri" w:eastAsia="Times New Roman" w:hAnsi="Calibri" w:cs="Calibri"/>
                <w:sz w:val="16"/>
                <w:szCs w:val="16"/>
                <w:lang w:val="en-US"/>
              </w:rPr>
              <w:t xml:space="preserve">One large observational study at critical risk of bias found harm associated with hyperoxia in children after cardiac arrest, and 3 much smaller studies at serious risk of bias found no association. Given the lack of association with benefit and the suggestion of possible harm, it seems most reasonable to avoid hyperoxia. </w:t>
            </w:r>
          </w:p>
        </w:tc>
      </w:tr>
    </w:tbl>
    <w:p w14:paraId="1D2BC6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3BB222E2" w14:textId="77777777">
        <w:trPr>
          <w:divId w:val="1858082648"/>
        </w:trPr>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proofErr w:type="spellStart"/>
            <w:r>
              <w:rPr>
                <w:rFonts w:ascii="Calibri" w:eastAsia="Times New Roman" w:hAnsi="Calibri" w:cs="Calibri"/>
                <w:color w:val="FFFFFF"/>
                <w:sz w:val="26"/>
                <w:szCs w:val="26"/>
              </w:rPr>
              <w:t>Subgroup</w:t>
            </w:r>
            <w:proofErr w:type="spellEnd"/>
            <w:r>
              <w:rPr>
                <w:rFonts w:ascii="Calibri" w:eastAsia="Times New Roman" w:hAnsi="Calibri" w:cs="Calibri"/>
                <w:color w:val="FFFFFF"/>
                <w:sz w:val="26"/>
                <w:szCs w:val="26"/>
              </w:rPr>
              <w:t xml:space="preserve"> </w:t>
            </w:r>
            <w:proofErr w:type="spellStart"/>
            <w:r>
              <w:rPr>
                <w:rFonts w:ascii="Calibri" w:eastAsia="Times New Roman" w:hAnsi="Calibri" w:cs="Calibri"/>
                <w:color w:val="FFFFFF"/>
                <w:sz w:val="26"/>
                <w:szCs w:val="26"/>
              </w:rPr>
              <w:t>considerations</w:t>
            </w:r>
            <w:proofErr w:type="spellEnd"/>
          </w:p>
        </w:tc>
      </w:tr>
      <w:tr w:rsidR="000526C3" w:rsidRPr="00A96752" w14:paraId="55FEACA4" w14:textId="77777777">
        <w:trPr>
          <w:divId w:val="1858082648"/>
          <w:trHeight w:val="1080"/>
        </w:trPr>
        <w:tc>
          <w:tcPr>
            <w:tcW w:w="0" w:type="auto"/>
            <w:tcMar>
              <w:top w:w="75" w:type="dxa"/>
              <w:left w:w="75" w:type="dxa"/>
              <w:bottom w:w="75" w:type="dxa"/>
              <w:right w:w="75" w:type="dxa"/>
            </w:tcMar>
            <w:hideMark/>
          </w:tcPr>
          <w:p w14:paraId="16264A57" w14:textId="16F4DA1C" w:rsidR="000526C3" w:rsidRPr="00CD2D3A" w:rsidRDefault="00045AFF">
            <w:pPr>
              <w:divId w:val="603804905"/>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 </w:t>
            </w:r>
            <w:r w:rsidR="000264CE">
              <w:rPr>
                <w:rFonts w:ascii="Calibri" w:eastAsia="Times New Roman" w:hAnsi="Calibri" w:cs="Calibri"/>
                <w:sz w:val="16"/>
                <w:szCs w:val="16"/>
                <w:lang w:val="en-US"/>
              </w:rPr>
              <w:t>There is insufficient evidence to evaluate whether particular subgroups, such as children with chronic hypoxemia due to congenital heart disease, would benefit from a different oxygen target.</w:t>
            </w:r>
          </w:p>
        </w:tc>
      </w:tr>
    </w:tbl>
    <w:p w14:paraId="263202E5"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FB273B6" w14:textId="77777777">
        <w:trPr>
          <w:divId w:val="1858082648"/>
        </w:trPr>
        <w:tc>
          <w:tcPr>
            <w:tcW w:w="0" w:type="auto"/>
            <w:shd w:val="clear" w:color="auto" w:fill="2E74B5"/>
            <w:tcMar>
              <w:top w:w="75" w:type="dxa"/>
              <w:left w:w="75" w:type="dxa"/>
              <w:bottom w:w="75" w:type="dxa"/>
              <w:right w:w="75" w:type="dxa"/>
            </w:tcMar>
            <w:hideMark/>
          </w:tcPr>
          <w:p w14:paraId="67A5D392" w14:textId="77777777" w:rsidR="000526C3" w:rsidRDefault="00045AFF">
            <w:pPr>
              <w:pStyle w:val="Heading2"/>
              <w:spacing w:before="0" w:beforeAutospacing="0" w:after="0" w:afterAutospacing="0"/>
              <w:rPr>
                <w:rFonts w:ascii="Calibri" w:eastAsia="Times New Roman" w:hAnsi="Calibri" w:cs="Calibri"/>
                <w:color w:val="FFFFFF"/>
                <w:sz w:val="26"/>
                <w:szCs w:val="26"/>
              </w:rPr>
            </w:pPr>
            <w:proofErr w:type="spellStart"/>
            <w:r>
              <w:rPr>
                <w:rFonts w:ascii="Calibri" w:eastAsia="Times New Roman" w:hAnsi="Calibri" w:cs="Calibri"/>
                <w:color w:val="FFFFFF"/>
                <w:sz w:val="26"/>
                <w:szCs w:val="26"/>
              </w:rPr>
              <w:t>Implementation</w:t>
            </w:r>
            <w:proofErr w:type="spellEnd"/>
            <w:r>
              <w:rPr>
                <w:rFonts w:ascii="Calibri" w:eastAsia="Times New Roman" w:hAnsi="Calibri" w:cs="Calibri"/>
                <w:color w:val="FFFFFF"/>
                <w:sz w:val="26"/>
                <w:szCs w:val="26"/>
              </w:rPr>
              <w:t xml:space="preserve"> </w:t>
            </w:r>
            <w:proofErr w:type="spellStart"/>
            <w:r>
              <w:rPr>
                <w:rFonts w:ascii="Calibri" w:eastAsia="Times New Roman" w:hAnsi="Calibri" w:cs="Calibri"/>
                <w:color w:val="FFFFFF"/>
                <w:sz w:val="26"/>
                <w:szCs w:val="26"/>
              </w:rPr>
              <w:t>considerations</w:t>
            </w:r>
            <w:proofErr w:type="spellEnd"/>
          </w:p>
        </w:tc>
      </w:tr>
      <w:tr w:rsidR="000526C3" w:rsidRPr="00A96752" w14:paraId="1C7BF584" w14:textId="77777777">
        <w:trPr>
          <w:divId w:val="1858082648"/>
          <w:trHeight w:val="1080"/>
        </w:trPr>
        <w:tc>
          <w:tcPr>
            <w:tcW w:w="0" w:type="auto"/>
            <w:tcMar>
              <w:top w:w="75" w:type="dxa"/>
              <w:left w:w="75" w:type="dxa"/>
              <w:bottom w:w="75" w:type="dxa"/>
              <w:right w:w="75" w:type="dxa"/>
            </w:tcMar>
            <w:hideMark/>
          </w:tcPr>
          <w:p w14:paraId="5C0DE7A1" w14:textId="6D8AE6FE" w:rsidR="000526C3" w:rsidRPr="00CD2D3A" w:rsidRDefault="000526C3">
            <w:pPr>
              <w:divId w:val="1737628567"/>
              <w:rPr>
                <w:rFonts w:ascii="Calibri" w:eastAsia="Times New Roman" w:hAnsi="Calibri" w:cs="Calibri"/>
                <w:sz w:val="16"/>
                <w:szCs w:val="16"/>
                <w:lang w:val="en-US"/>
              </w:rPr>
            </w:pPr>
          </w:p>
        </w:tc>
      </w:tr>
    </w:tbl>
    <w:p w14:paraId="5A867D4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6C620209" w14:textId="77777777">
        <w:trPr>
          <w:divId w:val="1858082648"/>
        </w:trPr>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proofErr w:type="spellStart"/>
            <w:r>
              <w:rPr>
                <w:rFonts w:ascii="Calibri" w:eastAsia="Times New Roman" w:hAnsi="Calibri" w:cs="Calibri"/>
                <w:color w:val="FFFFFF"/>
                <w:sz w:val="26"/>
                <w:szCs w:val="26"/>
              </w:rPr>
              <w:t>Monitoring</w:t>
            </w:r>
            <w:proofErr w:type="spellEnd"/>
            <w:r>
              <w:rPr>
                <w:rFonts w:ascii="Calibri" w:eastAsia="Times New Roman" w:hAnsi="Calibri" w:cs="Calibri"/>
                <w:color w:val="FFFFFF"/>
                <w:sz w:val="26"/>
                <w:szCs w:val="26"/>
              </w:rPr>
              <w:t xml:space="preserve"> and </w:t>
            </w:r>
            <w:proofErr w:type="spellStart"/>
            <w:r>
              <w:rPr>
                <w:rFonts w:ascii="Calibri" w:eastAsia="Times New Roman" w:hAnsi="Calibri" w:cs="Calibri"/>
                <w:color w:val="FFFFFF"/>
                <w:sz w:val="26"/>
                <w:szCs w:val="26"/>
              </w:rPr>
              <w:t>evaluation</w:t>
            </w:r>
            <w:proofErr w:type="spellEnd"/>
          </w:p>
        </w:tc>
      </w:tr>
      <w:tr w:rsidR="000526C3" w:rsidRPr="00A96752" w14:paraId="01D967A4" w14:textId="77777777">
        <w:trPr>
          <w:divId w:val="1858082648"/>
          <w:trHeight w:val="1080"/>
        </w:trPr>
        <w:tc>
          <w:tcPr>
            <w:tcW w:w="0" w:type="auto"/>
            <w:tcMar>
              <w:top w:w="75" w:type="dxa"/>
              <w:left w:w="75" w:type="dxa"/>
              <w:bottom w:w="75" w:type="dxa"/>
              <w:right w:w="75" w:type="dxa"/>
            </w:tcMar>
            <w:hideMark/>
          </w:tcPr>
          <w:p w14:paraId="06F50BFC" w14:textId="258F3BF2" w:rsidR="000526C3" w:rsidRPr="00CD2D3A" w:rsidRDefault="000526C3">
            <w:pPr>
              <w:divId w:val="1049572930"/>
              <w:rPr>
                <w:rFonts w:ascii="Calibri" w:eastAsia="Times New Roman" w:hAnsi="Calibri" w:cs="Calibri"/>
                <w:sz w:val="16"/>
                <w:szCs w:val="16"/>
                <w:lang w:val="en-US"/>
              </w:rPr>
            </w:pPr>
          </w:p>
        </w:tc>
      </w:tr>
    </w:tbl>
    <w:p w14:paraId="0C69AE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95729C7" w14:textId="77777777">
        <w:trPr>
          <w:divId w:val="1858082648"/>
        </w:trPr>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 xml:space="preserve">Research </w:t>
            </w:r>
            <w:proofErr w:type="spellStart"/>
            <w:r>
              <w:rPr>
                <w:rFonts w:ascii="Calibri" w:eastAsia="Times New Roman" w:hAnsi="Calibri" w:cs="Calibri"/>
                <w:color w:val="FFFFFF"/>
                <w:sz w:val="26"/>
                <w:szCs w:val="26"/>
              </w:rPr>
              <w:t>priorities</w:t>
            </w:r>
            <w:proofErr w:type="spellEnd"/>
          </w:p>
        </w:tc>
      </w:tr>
      <w:tr w:rsidR="000526C3" w:rsidRPr="00A96752" w14:paraId="052C420F" w14:textId="77777777">
        <w:trPr>
          <w:divId w:val="1858082648"/>
          <w:trHeight w:val="1080"/>
        </w:trPr>
        <w:tc>
          <w:tcPr>
            <w:tcW w:w="0" w:type="auto"/>
            <w:tcMar>
              <w:top w:w="75" w:type="dxa"/>
              <w:left w:w="75" w:type="dxa"/>
              <w:bottom w:w="75" w:type="dxa"/>
              <w:right w:w="75" w:type="dxa"/>
            </w:tcMar>
            <w:hideMark/>
          </w:tcPr>
          <w:p w14:paraId="6A4571D1" w14:textId="02FB80C5" w:rsidR="000526C3" w:rsidRPr="00CD2D3A" w:rsidRDefault="000526C3" w:rsidP="00FC63EB">
            <w:pPr>
              <w:pStyle w:val="public-draftstyledefault-unorderedlistitem"/>
              <w:rPr>
                <w:rFonts w:ascii="Calibri" w:eastAsia="Times New Roman" w:hAnsi="Calibri" w:cs="Calibri"/>
                <w:sz w:val="16"/>
                <w:szCs w:val="16"/>
                <w:lang w:val="en-US"/>
              </w:rPr>
            </w:pPr>
          </w:p>
        </w:tc>
      </w:tr>
    </w:tbl>
    <w:p w14:paraId="0DEEF8D8" w14:textId="77777777" w:rsidR="00045AFF" w:rsidRPr="00CD2D3A" w:rsidRDefault="00045AFF">
      <w:pPr>
        <w:divId w:val="1858082648"/>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20C31"/>
    <w:rsid w:val="000264CE"/>
    <w:rsid w:val="00045AFF"/>
    <w:rsid w:val="000526C3"/>
    <w:rsid w:val="00145E59"/>
    <w:rsid w:val="0025764C"/>
    <w:rsid w:val="00270546"/>
    <w:rsid w:val="002C660A"/>
    <w:rsid w:val="00345FB7"/>
    <w:rsid w:val="0039117B"/>
    <w:rsid w:val="00396BD4"/>
    <w:rsid w:val="003C25B6"/>
    <w:rsid w:val="004264F7"/>
    <w:rsid w:val="00452EFB"/>
    <w:rsid w:val="004825E2"/>
    <w:rsid w:val="00483D60"/>
    <w:rsid w:val="004B14DD"/>
    <w:rsid w:val="005467BC"/>
    <w:rsid w:val="00597673"/>
    <w:rsid w:val="00613621"/>
    <w:rsid w:val="006729C7"/>
    <w:rsid w:val="006D34DE"/>
    <w:rsid w:val="00745D65"/>
    <w:rsid w:val="007E5312"/>
    <w:rsid w:val="007E633F"/>
    <w:rsid w:val="00815EF0"/>
    <w:rsid w:val="008A5E4F"/>
    <w:rsid w:val="00953837"/>
    <w:rsid w:val="00A86318"/>
    <w:rsid w:val="00A96752"/>
    <w:rsid w:val="00AE3DC7"/>
    <w:rsid w:val="00B067A8"/>
    <w:rsid w:val="00BA3256"/>
    <w:rsid w:val="00BB4FD0"/>
    <w:rsid w:val="00CB5E97"/>
    <w:rsid w:val="00CD2D3A"/>
    <w:rsid w:val="00D65A05"/>
    <w:rsid w:val="00E15C18"/>
    <w:rsid w:val="00F53CF3"/>
    <w:rsid w:val="00FC63EB"/>
    <w:rsid w:val="00FE4D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EBD"/>
  <w15:docId w15:val="{10A32D47-2A24-4A44-9A4C-4ABEA82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915">
                          <w:marLeft w:val="0"/>
                          <w:marRight w:val="0"/>
                          <w:marTop w:val="0"/>
                          <w:marBottom w:val="0"/>
                          <w:divBdr>
                            <w:top w:val="none" w:sz="0" w:space="0" w:color="auto"/>
                            <w:left w:val="none" w:sz="0" w:space="0" w:color="auto"/>
                            <w:bottom w:val="none" w:sz="0" w:space="0" w:color="auto"/>
                            <w:right w:val="none" w:sz="0" w:space="0" w:color="auto"/>
                          </w:divBdr>
                          <w:divsChild>
                            <w:div w:id="1923445027">
                              <w:marLeft w:val="0"/>
                              <w:marRight w:val="0"/>
                              <w:marTop w:val="0"/>
                              <w:marBottom w:val="0"/>
                              <w:divBdr>
                                <w:top w:val="none" w:sz="0" w:space="0" w:color="auto"/>
                                <w:left w:val="none" w:sz="0" w:space="0" w:color="auto"/>
                                <w:bottom w:val="none" w:sz="0" w:space="0" w:color="auto"/>
                                <w:right w:val="none" w:sz="0" w:space="0" w:color="auto"/>
                              </w:divBdr>
                              <w:divsChild>
                                <w:div w:id="1176531535">
                                  <w:marLeft w:val="0"/>
                                  <w:marRight w:val="0"/>
                                  <w:marTop w:val="0"/>
                                  <w:marBottom w:val="0"/>
                                  <w:divBdr>
                                    <w:top w:val="none" w:sz="0" w:space="0" w:color="auto"/>
                                    <w:left w:val="none" w:sz="0" w:space="0" w:color="auto"/>
                                    <w:bottom w:val="none" w:sz="0" w:space="0" w:color="auto"/>
                                    <w:right w:val="none" w:sz="0" w:space="0" w:color="auto"/>
                                  </w:divBdr>
                                  <w:divsChild>
                                    <w:div w:id="141121857">
                                      <w:marLeft w:val="0"/>
                                      <w:marRight w:val="0"/>
                                      <w:marTop w:val="0"/>
                                      <w:marBottom w:val="0"/>
                                      <w:divBdr>
                                        <w:top w:val="none" w:sz="0" w:space="0" w:color="auto"/>
                                        <w:left w:val="none" w:sz="0" w:space="0" w:color="auto"/>
                                        <w:bottom w:val="none" w:sz="0" w:space="0" w:color="auto"/>
                                        <w:right w:val="none" w:sz="0" w:space="0" w:color="auto"/>
                                      </w:divBdr>
                                      <w:divsChild>
                                        <w:div w:id="1460802358">
                                          <w:marLeft w:val="0"/>
                                          <w:marRight w:val="0"/>
                                          <w:marTop w:val="0"/>
                                          <w:marBottom w:val="0"/>
                                          <w:divBdr>
                                            <w:top w:val="none" w:sz="0" w:space="0" w:color="auto"/>
                                            <w:left w:val="none" w:sz="0" w:space="0" w:color="auto"/>
                                            <w:bottom w:val="none" w:sz="0" w:space="0" w:color="auto"/>
                                            <w:right w:val="none" w:sz="0" w:space="0" w:color="auto"/>
                                          </w:divBdr>
                                          <w:divsChild>
                                            <w:div w:id="240994171">
                                              <w:marLeft w:val="0"/>
                                              <w:marRight w:val="0"/>
                                              <w:marTop w:val="0"/>
                                              <w:marBottom w:val="0"/>
                                              <w:divBdr>
                                                <w:top w:val="none" w:sz="0" w:space="0" w:color="auto"/>
                                                <w:left w:val="none" w:sz="0" w:space="0" w:color="auto"/>
                                                <w:bottom w:val="none" w:sz="0" w:space="0" w:color="auto"/>
                                                <w:right w:val="none" w:sz="0" w:space="0" w:color="auto"/>
                                              </w:divBdr>
                                              <w:divsChild>
                                                <w:div w:id="1639147297">
                                                  <w:marLeft w:val="0"/>
                                                  <w:marRight w:val="0"/>
                                                  <w:marTop w:val="0"/>
                                                  <w:marBottom w:val="0"/>
                                                  <w:divBdr>
                                                    <w:top w:val="none" w:sz="0" w:space="0" w:color="auto"/>
                                                    <w:left w:val="none" w:sz="0" w:space="0" w:color="auto"/>
                                                    <w:bottom w:val="none" w:sz="0" w:space="0" w:color="auto"/>
                                                    <w:right w:val="none" w:sz="0" w:space="0" w:color="auto"/>
                                                  </w:divBdr>
                                                  <w:divsChild>
                                                    <w:div w:id="995302651">
                                                      <w:marLeft w:val="0"/>
                                                      <w:marRight w:val="0"/>
                                                      <w:marTop w:val="0"/>
                                                      <w:marBottom w:val="0"/>
                                                      <w:divBdr>
                                                        <w:top w:val="none" w:sz="0" w:space="0" w:color="auto"/>
                                                        <w:left w:val="none" w:sz="0" w:space="0" w:color="auto"/>
                                                        <w:bottom w:val="none" w:sz="0" w:space="0" w:color="auto"/>
                                                        <w:right w:val="none" w:sz="0" w:space="0" w:color="auto"/>
                                                      </w:divBdr>
                                                      <w:divsChild>
                                                        <w:div w:id="1232232573">
                                                          <w:marLeft w:val="0"/>
                                                          <w:marRight w:val="0"/>
                                                          <w:marTop w:val="0"/>
                                                          <w:marBottom w:val="0"/>
                                                          <w:divBdr>
                                                            <w:top w:val="none" w:sz="0" w:space="0" w:color="auto"/>
                                                            <w:left w:val="none" w:sz="0" w:space="0" w:color="auto"/>
                                                            <w:bottom w:val="none" w:sz="0" w:space="0" w:color="auto"/>
                                                            <w:right w:val="none" w:sz="0" w:space="0" w:color="auto"/>
                                                          </w:divBdr>
                                                          <w:divsChild>
                                                            <w:div w:id="1839341168">
                                                              <w:marLeft w:val="0"/>
                                                              <w:marRight w:val="0"/>
                                                              <w:marTop w:val="0"/>
                                                              <w:marBottom w:val="0"/>
                                                              <w:divBdr>
                                                                <w:top w:val="none" w:sz="0" w:space="0" w:color="auto"/>
                                                                <w:left w:val="none" w:sz="0" w:space="0" w:color="auto"/>
                                                                <w:bottom w:val="none" w:sz="0" w:space="0" w:color="auto"/>
                                                                <w:right w:val="none" w:sz="0" w:space="0" w:color="auto"/>
                                                              </w:divBdr>
                                                              <w:divsChild>
                                                                <w:div w:id="775179619">
                                                                  <w:marLeft w:val="0"/>
                                                                  <w:marRight w:val="0"/>
                                                                  <w:marTop w:val="0"/>
                                                                  <w:marBottom w:val="0"/>
                                                                  <w:divBdr>
                                                                    <w:top w:val="none" w:sz="0" w:space="0" w:color="auto"/>
                                                                    <w:left w:val="none" w:sz="0" w:space="0" w:color="auto"/>
                                                                    <w:bottom w:val="none" w:sz="0" w:space="0" w:color="auto"/>
                                                                    <w:right w:val="none" w:sz="0" w:space="0" w:color="auto"/>
                                                                  </w:divBdr>
                                                                  <w:divsChild>
                                                                    <w:div w:id="2025589884">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sChild>
                    <w:div w:id="1350569012">
                      <w:marLeft w:val="0"/>
                      <w:marRight w:val="0"/>
                      <w:marTop w:val="0"/>
                      <w:marBottom w:val="0"/>
                      <w:divBdr>
                        <w:top w:val="none" w:sz="0" w:space="0" w:color="auto"/>
                        <w:left w:val="none" w:sz="0" w:space="0" w:color="auto"/>
                        <w:bottom w:val="none" w:sz="0" w:space="0" w:color="auto"/>
                        <w:right w:val="none" w:sz="0" w:space="0" w:color="auto"/>
                      </w:divBdr>
                      <w:divsChild>
                        <w:div w:id="3646720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39522878">
                  <w:marLeft w:val="0"/>
                  <w:marRight w:val="0"/>
                  <w:marTop w:val="0"/>
                  <w:marBottom w:val="0"/>
                  <w:divBdr>
                    <w:top w:val="none" w:sz="0" w:space="0" w:color="auto"/>
                    <w:left w:val="none" w:sz="0" w:space="0" w:color="auto"/>
                    <w:bottom w:val="none" w:sz="0" w:space="0" w:color="auto"/>
                    <w:right w:val="none" w:sz="0" w:space="0" w:color="auto"/>
                  </w:divBdr>
                  <w:divsChild>
                    <w:div w:id="712653354">
                      <w:marLeft w:val="0"/>
                      <w:marRight w:val="0"/>
                      <w:marTop w:val="0"/>
                      <w:marBottom w:val="0"/>
                      <w:divBdr>
                        <w:top w:val="none" w:sz="0" w:space="0" w:color="auto"/>
                        <w:left w:val="none" w:sz="0" w:space="0" w:color="auto"/>
                        <w:bottom w:val="none" w:sz="0" w:space="0" w:color="auto"/>
                        <w:right w:val="none" w:sz="0" w:space="0" w:color="auto"/>
                      </w:divBdr>
                      <w:divsChild>
                        <w:div w:id="1858082648">
                          <w:marLeft w:val="0"/>
                          <w:marRight w:val="0"/>
                          <w:marTop w:val="0"/>
                          <w:marBottom w:val="0"/>
                          <w:divBdr>
                            <w:top w:val="none" w:sz="0" w:space="0" w:color="auto"/>
                            <w:left w:val="none" w:sz="0" w:space="0" w:color="auto"/>
                            <w:bottom w:val="none" w:sz="0" w:space="0" w:color="auto"/>
                            <w:right w:val="none" w:sz="0" w:space="0" w:color="auto"/>
                          </w:divBdr>
                          <w:divsChild>
                            <w:div w:id="1398167899">
                              <w:marLeft w:val="0"/>
                              <w:marRight w:val="0"/>
                              <w:marTop w:val="0"/>
                              <w:marBottom w:val="0"/>
                              <w:divBdr>
                                <w:top w:val="none" w:sz="0" w:space="0" w:color="auto"/>
                                <w:left w:val="none" w:sz="0" w:space="0" w:color="auto"/>
                                <w:bottom w:val="none" w:sz="0" w:space="0" w:color="auto"/>
                                <w:right w:val="none" w:sz="0" w:space="0" w:color="auto"/>
                              </w:divBdr>
                              <w:divsChild>
                                <w:div w:id="276790336">
                                  <w:marLeft w:val="0"/>
                                  <w:marRight w:val="0"/>
                                  <w:marTop w:val="0"/>
                                  <w:marBottom w:val="0"/>
                                  <w:divBdr>
                                    <w:top w:val="none" w:sz="0" w:space="0" w:color="auto"/>
                                    <w:left w:val="none" w:sz="0" w:space="0" w:color="auto"/>
                                    <w:bottom w:val="none" w:sz="0" w:space="0" w:color="auto"/>
                                    <w:right w:val="none" w:sz="0" w:space="0" w:color="auto"/>
                                  </w:divBdr>
                                  <w:divsChild>
                                    <w:div w:id="432554689">
                                      <w:marLeft w:val="0"/>
                                      <w:marRight w:val="0"/>
                                      <w:marTop w:val="0"/>
                                      <w:marBottom w:val="0"/>
                                      <w:divBdr>
                                        <w:top w:val="none" w:sz="0" w:space="0" w:color="auto"/>
                                        <w:left w:val="none" w:sz="0" w:space="0" w:color="auto"/>
                                        <w:bottom w:val="none" w:sz="0" w:space="0" w:color="auto"/>
                                        <w:right w:val="none" w:sz="0" w:space="0" w:color="auto"/>
                                      </w:divBdr>
                                      <w:divsChild>
                                        <w:div w:id="309361019">
                                          <w:marLeft w:val="0"/>
                                          <w:marRight w:val="0"/>
                                          <w:marTop w:val="0"/>
                                          <w:marBottom w:val="0"/>
                                          <w:divBdr>
                                            <w:top w:val="none" w:sz="0" w:space="0" w:color="auto"/>
                                            <w:left w:val="none" w:sz="0" w:space="0" w:color="auto"/>
                                            <w:bottom w:val="none" w:sz="0" w:space="0" w:color="auto"/>
                                            <w:right w:val="none" w:sz="0" w:space="0" w:color="auto"/>
                                          </w:divBdr>
                                          <w:divsChild>
                                            <w:div w:id="2071879921">
                                              <w:marLeft w:val="0"/>
                                              <w:marRight w:val="0"/>
                                              <w:marTop w:val="0"/>
                                              <w:marBottom w:val="0"/>
                                              <w:divBdr>
                                                <w:top w:val="none" w:sz="0" w:space="0" w:color="auto"/>
                                                <w:left w:val="none" w:sz="0" w:space="0" w:color="auto"/>
                                                <w:bottom w:val="none" w:sz="0" w:space="0" w:color="auto"/>
                                                <w:right w:val="none" w:sz="0" w:space="0" w:color="auto"/>
                                              </w:divBdr>
                                              <w:divsChild>
                                                <w:div w:id="1070956296">
                                                  <w:marLeft w:val="0"/>
                                                  <w:marRight w:val="0"/>
                                                  <w:marTop w:val="0"/>
                                                  <w:marBottom w:val="0"/>
                                                  <w:divBdr>
                                                    <w:top w:val="none" w:sz="0" w:space="0" w:color="auto"/>
                                                    <w:left w:val="none" w:sz="0" w:space="0" w:color="auto"/>
                                                    <w:bottom w:val="none" w:sz="0" w:space="0" w:color="auto"/>
                                                    <w:right w:val="none" w:sz="0" w:space="0" w:color="auto"/>
                                                  </w:divBdr>
                                                  <w:divsChild>
                                                    <w:div w:id="916743183">
                                                      <w:marLeft w:val="0"/>
                                                      <w:marRight w:val="0"/>
                                                      <w:marTop w:val="0"/>
                                                      <w:marBottom w:val="0"/>
                                                      <w:divBdr>
                                                        <w:top w:val="none" w:sz="0" w:space="0" w:color="auto"/>
                                                        <w:left w:val="none" w:sz="0" w:space="0" w:color="auto"/>
                                                        <w:bottom w:val="none" w:sz="0" w:space="0" w:color="auto"/>
                                                        <w:right w:val="none" w:sz="0" w:space="0" w:color="auto"/>
                                                      </w:divBdr>
                                                      <w:divsChild>
                                                        <w:div w:id="410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97168">
                              <w:marLeft w:val="0"/>
                              <w:marRight w:val="0"/>
                              <w:marTop w:val="0"/>
                              <w:marBottom w:val="0"/>
                              <w:divBdr>
                                <w:top w:val="none" w:sz="0" w:space="0" w:color="auto"/>
                                <w:left w:val="none" w:sz="0" w:space="0" w:color="auto"/>
                                <w:bottom w:val="none" w:sz="0" w:space="0" w:color="auto"/>
                                <w:right w:val="none" w:sz="0" w:space="0" w:color="auto"/>
                              </w:divBdr>
                              <w:divsChild>
                                <w:div w:id="917401518">
                                  <w:marLeft w:val="0"/>
                                  <w:marRight w:val="0"/>
                                  <w:marTop w:val="0"/>
                                  <w:marBottom w:val="0"/>
                                  <w:divBdr>
                                    <w:top w:val="none" w:sz="0" w:space="0" w:color="auto"/>
                                    <w:left w:val="none" w:sz="0" w:space="0" w:color="auto"/>
                                    <w:bottom w:val="none" w:sz="0" w:space="0" w:color="auto"/>
                                    <w:right w:val="none" w:sz="0" w:space="0" w:color="auto"/>
                                  </w:divBdr>
                                  <w:divsChild>
                                    <w:div w:id="149909433">
                                      <w:marLeft w:val="0"/>
                                      <w:marRight w:val="0"/>
                                      <w:marTop w:val="0"/>
                                      <w:marBottom w:val="0"/>
                                      <w:divBdr>
                                        <w:top w:val="none" w:sz="0" w:space="0" w:color="auto"/>
                                        <w:left w:val="none" w:sz="0" w:space="0" w:color="auto"/>
                                        <w:bottom w:val="none" w:sz="0" w:space="0" w:color="auto"/>
                                        <w:right w:val="none" w:sz="0" w:space="0" w:color="auto"/>
                                      </w:divBdr>
                                      <w:divsChild>
                                        <w:div w:id="1935672657">
                                          <w:marLeft w:val="0"/>
                                          <w:marRight w:val="0"/>
                                          <w:marTop w:val="0"/>
                                          <w:marBottom w:val="0"/>
                                          <w:divBdr>
                                            <w:top w:val="none" w:sz="0" w:space="0" w:color="auto"/>
                                            <w:left w:val="none" w:sz="0" w:space="0" w:color="auto"/>
                                            <w:bottom w:val="none" w:sz="0" w:space="0" w:color="auto"/>
                                            <w:right w:val="none" w:sz="0" w:space="0" w:color="auto"/>
                                          </w:divBdr>
                                          <w:divsChild>
                                            <w:div w:id="2137677356">
                                              <w:marLeft w:val="0"/>
                                              <w:marRight w:val="0"/>
                                              <w:marTop w:val="0"/>
                                              <w:marBottom w:val="0"/>
                                              <w:divBdr>
                                                <w:top w:val="none" w:sz="0" w:space="0" w:color="auto"/>
                                                <w:left w:val="none" w:sz="0" w:space="0" w:color="auto"/>
                                                <w:bottom w:val="none" w:sz="0" w:space="0" w:color="auto"/>
                                                <w:right w:val="none" w:sz="0" w:space="0" w:color="auto"/>
                                              </w:divBdr>
                                              <w:divsChild>
                                                <w:div w:id="357245174">
                                                  <w:marLeft w:val="0"/>
                                                  <w:marRight w:val="0"/>
                                                  <w:marTop w:val="0"/>
                                                  <w:marBottom w:val="0"/>
                                                  <w:divBdr>
                                                    <w:top w:val="none" w:sz="0" w:space="0" w:color="auto"/>
                                                    <w:left w:val="none" w:sz="0" w:space="0" w:color="auto"/>
                                                    <w:bottom w:val="none" w:sz="0" w:space="0" w:color="auto"/>
                                                    <w:right w:val="none" w:sz="0" w:space="0" w:color="auto"/>
                                                  </w:divBdr>
                                                  <w:divsChild>
                                                    <w:div w:id="603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4394">
                              <w:marLeft w:val="0"/>
                              <w:marRight w:val="0"/>
                              <w:marTop w:val="0"/>
                              <w:marBottom w:val="0"/>
                              <w:divBdr>
                                <w:top w:val="none" w:sz="0" w:space="0" w:color="auto"/>
                                <w:left w:val="none" w:sz="0" w:space="0" w:color="auto"/>
                                <w:bottom w:val="none" w:sz="0" w:space="0" w:color="auto"/>
                                <w:right w:val="none" w:sz="0" w:space="0" w:color="auto"/>
                              </w:divBdr>
                              <w:divsChild>
                                <w:div w:id="685983201">
                                  <w:marLeft w:val="0"/>
                                  <w:marRight w:val="0"/>
                                  <w:marTop w:val="0"/>
                                  <w:marBottom w:val="0"/>
                                  <w:divBdr>
                                    <w:top w:val="none" w:sz="0" w:space="0" w:color="auto"/>
                                    <w:left w:val="none" w:sz="0" w:space="0" w:color="auto"/>
                                    <w:bottom w:val="none" w:sz="0" w:space="0" w:color="auto"/>
                                    <w:right w:val="none" w:sz="0" w:space="0" w:color="auto"/>
                                  </w:divBdr>
                                  <w:divsChild>
                                    <w:div w:id="124661974">
                                      <w:marLeft w:val="0"/>
                                      <w:marRight w:val="0"/>
                                      <w:marTop w:val="0"/>
                                      <w:marBottom w:val="0"/>
                                      <w:divBdr>
                                        <w:top w:val="none" w:sz="0" w:space="0" w:color="auto"/>
                                        <w:left w:val="none" w:sz="0" w:space="0" w:color="auto"/>
                                        <w:bottom w:val="none" w:sz="0" w:space="0" w:color="auto"/>
                                        <w:right w:val="none" w:sz="0" w:space="0" w:color="auto"/>
                                      </w:divBdr>
                                      <w:divsChild>
                                        <w:div w:id="1148471558">
                                          <w:marLeft w:val="0"/>
                                          <w:marRight w:val="0"/>
                                          <w:marTop w:val="0"/>
                                          <w:marBottom w:val="0"/>
                                          <w:divBdr>
                                            <w:top w:val="none" w:sz="0" w:space="0" w:color="auto"/>
                                            <w:left w:val="none" w:sz="0" w:space="0" w:color="auto"/>
                                            <w:bottom w:val="none" w:sz="0" w:space="0" w:color="auto"/>
                                            <w:right w:val="none" w:sz="0" w:space="0" w:color="auto"/>
                                          </w:divBdr>
                                          <w:divsChild>
                                            <w:div w:id="449251714">
                                              <w:marLeft w:val="0"/>
                                              <w:marRight w:val="0"/>
                                              <w:marTop w:val="0"/>
                                              <w:marBottom w:val="0"/>
                                              <w:divBdr>
                                                <w:top w:val="none" w:sz="0" w:space="0" w:color="auto"/>
                                                <w:left w:val="none" w:sz="0" w:space="0" w:color="auto"/>
                                                <w:bottom w:val="none" w:sz="0" w:space="0" w:color="auto"/>
                                                <w:right w:val="none" w:sz="0" w:space="0" w:color="auto"/>
                                              </w:divBdr>
                                              <w:divsChild>
                                                <w:div w:id="2085103276">
                                                  <w:marLeft w:val="0"/>
                                                  <w:marRight w:val="0"/>
                                                  <w:marTop w:val="0"/>
                                                  <w:marBottom w:val="0"/>
                                                  <w:divBdr>
                                                    <w:top w:val="none" w:sz="0" w:space="0" w:color="auto"/>
                                                    <w:left w:val="none" w:sz="0" w:space="0" w:color="auto"/>
                                                    <w:bottom w:val="none" w:sz="0" w:space="0" w:color="auto"/>
                                                    <w:right w:val="none" w:sz="0" w:space="0" w:color="auto"/>
                                                  </w:divBdr>
                                                  <w:divsChild>
                                                    <w:div w:id="1737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354">
                              <w:marLeft w:val="0"/>
                              <w:marRight w:val="0"/>
                              <w:marTop w:val="0"/>
                              <w:marBottom w:val="0"/>
                              <w:divBdr>
                                <w:top w:val="none" w:sz="0" w:space="0" w:color="auto"/>
                                <w:left w:val="none" w:sz="0" w:space="0" w:color="auto"/>
                                <w:bottom w:val="none" w:sz="0" w:space="0" w:color="auto"/>
                                <w:right w:val="none" w:sz="0" w:space="0" w:color="auto"/>
                              </w:divBdr>
                              <w:divsChild>
                                <w:div w:id="1908302872">
                                  <w:marLeft w:val="0"/>
                                  <w:marRight w:val="0"/>
                                  <w:marTop w:val="0"/>
                                  <w:marBottom w:val="0"/>
                                  <w:divBdr>
                                    <w:top w:val="none" w:sz="0" w:space="0" w:color="auto"/>
                                    <w:left w:val="none" w:sz="0" w:space="0" w:color="auto"/>
                                    <w:bottom w:val="none" w:sz="0" w:space="0" w:color="auto"/>
                                    <w:right w:val="none" w:sz="0" w:space="0" w:color="auto"/>
                                  </w:divBdr>
                                  <w:divsChild>
                                    <w:div w:id="264653148">
                                      <w:marLeft w:val="0"/>
                                      <w:marRight w:val="0"/>
                                      <w:marTop w:val="0"/>
                                      <w:marBottom w:val="0"/>
                                      <w:divBdr>
                                        <w:top w:val="none" w:sz="0" w:space="0" w:color="auto"/>
                                        <w:left w:val="none" w:sz="0" w:space="0" w:color="auto"/>
                                        <w:bottom w:val="none" w:sz="0" w:space="0" w:color="auto"/>
                                        <w:right w:val="none" w:sz="0" w:space="0" w:color="auto"/>
                                      </w:divBdr>
                                      <w:divsChild>
                                        <w:div w:id="1274704361">
                                          <w:marLeft w:val="0"/>
                                          <w:marRight w:val="0"/>
                                          <w:marTop w:val="0"/>
                                          <w:marBottom w:val="0"/>
                                          <w:divBdr>
                                            <w:top w:val="none" w:sz="0" w:space="0" w:color="auto"/>
                                            <w:left w:val="none" w:sz="0" w:space="0" w:color="auto"/>
                                            <w:bottom w:val="none" w:sz="0" w:space="0" w:color="auto"/>
                                            <w:right w:val="none" w:sz="0" w:space="0" w:color="auto"/>
                                          </w:divBdr>
                                          <w:divsChild>
                                            <w:div w:id="1925989022">
                                              <w:marLeft w:val="0"/>
                                              <w:marRight w:val="0"/>
                                              <w:marTop w:val="0"/>
                                              <w:marBottom w:val="0"/>
                                              <w:divBdr>
                                                <w:top w:val="none" w:sz="0" w:space="0" w:color="auto"/>
                                                <w:left w:val="none" w:sz="0" w:space="0" w:color="auto"/>
                                                <w:bottom w:val="none" w:sz="0" w:space="0" w:color="auto"/>
                                                <w:right w:val="none" w:sz="0" w:space="0" w:color="auto"/>
                                              </w:divBdr>
                                              <w:divsChild>
                                                <w:div w:id="428620270">
                                                  <w:marLeft w:val="0"/>
                                                  <w:marRight w:val="0"/>
                                                  <w:marTop w:val="0"/>
                                                  <w:marBottom w:val="0"/>
                                                  <w:divBdr>
                                                    <w:top w:val="none" w:sz="0" w:space="0" w:color="auto"/>
                                                    <w:left w:val="none" w:sz="0" w:space="0" w:color="auto"/>
                                                    <w:bottom w:val="none" w:sz="0" w:space="0" w:color="auto"/>
                                                    <w:right w:val="none" w:sz="0" w:space="0" w:color="auto"/>
                                                  </w:divBdr>
                                                  <w:divsChild>
                                                    <w:div w:id="1049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2020-01-02T23:10:00Z</dcterms:created>
  <dcterms:modified xsi:type="dcterms:W3CDTF">2020-01-02T23:10:00Z</dcterms:modified>
</cp:coreProperties>
</file>