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C7C" w:rsidRDefault="00000000">
      <w:r>
        <w:rPr>
          <w:b/>
        </w:rPr>
        <w:t xml:space="preserve">Question: </w:t>
      </w:r>
      <w:r>
        <w:t xml:space="preserve">Does </w:t>
      </w:r>
      <w:r>
        <w:rPr>
          <w:color w:val="000000"/>
        </w:rPr>
        <w:t xml:space="preserve">SSEP N20 wave amplitude assessed within one week from cardiac arrest </w:t>
      </w:r>
      <w:r>
        <w:t>predict favorable neurologic outcome at intensive care unit discharge to 6 months after arrest for patients comatose after cardiac arrest?</w:t>
      </w:r>
    </w:p>
    <w:p w:rsidR="005F6C7C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Bibliography:</w:t>
      </w:r>
    </w:p>
    <w:p w:rsidR="005F6C7C" w:rsidRDefault="005F6C7C">
      <w:pPr>
        <w:rPr>
          <w:b/>
          <w:sz w:val="20"/>
          <w:szCs w:val="20"/>
        </w:rPr>
      </w:pPr>
    </w:p>
    <w:tbl>
      <w:tblPr>
        <w:tblStyle w:val="a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1194"/>
        <w:gridCol w:w="1050"/>
        <w:gridCol w:w="1501"/>
        <w:gridCol w:w="1019"/>
        <w:gridCol w:w="1170"/>
        <w:gridCol w:w="1497"/>
        <w:gridCol w:w="839"/>
        <w:gridCol w:w="1159"/>
      </w:tblGrid>
      <w:tr w:rsidR="005F6C7C">
        <w:trPr>
          <w:trHeight w:val="261"/>
        </w:trPr>
        <w:tc>
          <w:tcPr>
            <w:tcW w:w="8240" w:type="dxa"/>
            <w:gridSpan w:val="7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Certainty Assessment</w:t>
            </w:r>
          </w:p>
        </w:tc>
        <w:tc>
          <w:tcPr>
            <w:tcW w:w="839" w:type="dxa"/>
            <w:vMerge w:val="restart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Certainty</w:t>
            </w:r>
          </w:p>
        </w:tc>
        <w:tc>
          <w:tcPr>
            <w:tcW w:w="1159" w:type="dxa"/>
            <w:vMerge w:val="restart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Importance</w:t>
            </w:r>
          </w:p>
        </w:tc>
      </w:tr>
      <w:tr w:rsidR="005F6C7C">
        <w:trPr>
          <w:trHeight w:val="660"/>
        </w:trPr>
        <w:tc>
          <w:tcPr>
            <w:tcW w:w="809" w:type="dxa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No of Studies</w:t>
            </w:r>
          </w:p>
        </w:tc>
        <w:tc>
          <w:tcPr>
            <w:tcW w:w="1194" w:type="dxa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Study Design</w:t>
            </w:r>
          </w:p>
        </w:tc>
        <w:tc>
          <w:tcPr>
            <w:tcW w:w="1050" w:type="dxa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1501" w:type="dxa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1019" w:type="dxa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1170" w:type="dxa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1497" w:type="dxa"/>
            <w:shd w:val="clear" w:color="auto" w:fill="4472C4"/>
          </w:tcPr>
          <w:p w:rsidR="005F6C7C" w:rsidRDefault="0000000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Other Considerations</w:t>
            </w:r>
          </w:p>
        </w:tc>
        <w:tc>
          <w:tcPr>
            <w:tcW w:w="839" w:type="dxa"/>
            <w:vMerge/>
            <w:shd w:val="clear" w:color="auto" w:fill="4472C4"/>
          </w:tcPr>
          <w:p w:rsidR="005F6C7C" w:rsidRDefault="005F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4472C4"/>
          </w:tcPr>
          <w:p w:rsidR="005F6C7C" w:rsidRDefault="005F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16"/>
                <w:szCs w:val="16"/>
              </w:rPr>
            </w:pPr>
          </w:p>
        </w:tc>
      </w:tr>
    </w:tbl>
    <w:p w:rsidR="005F6C7C" w:rsidRDefault="005F6C7C"/>
    <w:p w:rsidR="005F6C7C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N20</w:t>
      </w:r>
      <w:r>
        <w:rPr>
          <w:b/>
          <w:i/>
          <w:sz w:val="20"/>
          <w:szCs w:val="20"/>
        </w:rPr>
        <w:t>-P25</w:t>
      </w:r>
      <w:r>
        <w:rPr>
          <w:b/>
          <w:sz w:val="20"/>
          <w:szCs w:val="20"/>
        </w:rPr>
        <w:t xml:space="preserve"> amplitude threshold 2.31-10 µV at 12-72h after ROSC (outcome: CPC 1-2 at 6 months)</w:t>
      </w:r>
    </w:p>
    <w:tbl>
      <w:tblPr>
        <w:tblStyle w:val="a0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200"/>
        <w:gridCol w:w="1060"/>
        <w:gridCol w:w="1491"/>
        <w:gridCol w:w="992"/>
        <w:gridCol w:w="1129"/>
        <w:gridCol w:w="1536"/>
        <w:gridCol w:w="905"/>
        <w:gridCol w:w="1122"/>
      </w:tblGrid>
      <w:tr w:rsidR="005F6C7C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rPr>
                <w:sz w:val="16"/>
                <w:szCs w:val="16"/>
              </w:rPr>
            </w:pPr>
            <w:bookmarkStart w:id="0" w:name="bookmark=id.gjdgxs" w:colFirst="0" w:colLast="0"/>
            <w:bookmarkEnd w:id="0"/>
            <w:r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studies (581 patients)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Heterogeneity did not allow pooling to generate effect estimates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</w:tr>
    </w:tbl>
    <w:p w:rsidR="005F6C7C" w:rsidRDefault="005F6C7C"/>
    <w:p w:rsidR="005F6C7C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N20</w:t>
      </w:r>
      <w:r>
        <w:rPr>
          <w:b/>
          <w:i/>
          <w:sz w:val="20"/>
          <w:szCs w:val="20"/>
        </w:rPr>
        <w:t>-P25</w:t>
      </w:r>
      <w:r>
        <w:rPr>
          <w:b/>
          <w:sz w:val="20"/>
          <w:szCs w:val="20"/>
        </w:rPr>
        <w:t xml:space="preserve"> amplitude threshold &gt;4.197 µV at 12-72h after ROSC (outcome: CPC 1-2 at ICU discharge)</w:t>
      </w:r>
    </w:p>
    <w:tbl>
      <w:tblPr>
        <w:tblStyle w:val="a1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200"/>
        <w:gridCol w:w="1060"/>
        <w:gridCol w:w="1491"/>
        <w:gridCol w:w="992"/>
        <w:gridCol w:w="1129"/>
        <w:gridCol w:w="1536"/>
        <w:gridCol w:w="905"/>
        <w:gridCol w:w="1122"/>
      </w:tblGrid>
      <w:tr w:rsidR="005F6C7C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study (293 patients)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5F6C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</w:tr>
    </w:tbl>
    <w:p w:rsidR="005F6C7C" w:rsidRDefault="005F6C7C"/>
    <w:p w:rsidR="005F6C7C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N20</w:t>
      </w:r>
      <w:r>
        <w:rPr>
          <w:b/>
          <w:i/>
          <w:sz w:val="20"/>
          <w:szCs w:val="20"/>
        </w:rPr>
        <w:t>-baseline</w:t>
      </w:r>
      <w:r>
        <w:rPr>
          <w:b/>
          <w:sz w:val="20"/>
          <w:szCs w:val="20"/>
        </w:rPr>
        <w:t xml:space="preserve"> amplitude threshold &gt;2 µV at 72h after ROSC (outcome: CPC 1-2 at 3 months)</w:t>
      </w:r>
    </w:p>
    <w:tbl>
      <w:tblPr>
        <w:tblStyle w:val="a2"/>
        <w:tblW w:w="10238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1200"/>
        <w:gridCol w:w="1060"/>
        <w:gridCol w:w="1491"/>
        <w:gridCol w:w="992"/>
        <w:gridCol w:w="1129"/>
        <w:gridCol w:w="1536"/>
        <w:gridCol w:w="905"/>
        <w:gridCol w:w="1122"/>
      </w:tblGrid>
      <w:tr w:rsidR="005F6C7C">
        <w:trPr>
          <w:trHeight w:val="28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study (82 patients)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Moderate</w:t>
            </w:r>
            <w:r>
              <w:rPr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serious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Serious</w:t>
            </w:r>
            <w:r>
              <w:rPr>
                <w:sz w:val="16"/>
                <w:szCs w:val="16"/>
                <w:vertAlign w:val="superscript"/>
              </w:rPr>
              <w:t>h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5F6C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7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Critical</w:t>
            </w:r>
          </w:p>
        </w:tc>
      </w:tr>
    </w:tbl>
    <w:p w:rsidR="005F6C7C" w:rsidRDefault="00000000">
      <w:pPr>
        <w:pStyle w:val="Heading4"/>
        <w:spacing w:before="280" w:after="2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Explanations</w:t>
      </w:r>
    </w:p>
    <w:p w:rsidR="005F6C7C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a</w:t>
      </w:r>
      <w:r>
        <w:rPr>
          <w:sz w:val="16"/>
          <w:szCs w:val="16"/>
        </w:rPr>
        <w:t xml:space="preserve"> Risk of bias ranging from moderate to serious due to lack of blinding and confounding.</w:t>
      </w:r>
    </w:p>
    <w:p w:rsidR="005F6C7C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b</w:t>
      </w:r>
      <w:r>
        <w:rPr>
          <w:sz w:val="16"/>
          <w:szCs w:val="16"/>
        </w:rPr>
        <w:t xml:space="preserve"> The N20 amplitude thresholds for good outcome prediction were inconsistent across studies, ranging from &gt;2.31 µV to 10 µV.</w:t>
      </w:r>
    </w:p>
    <w:p w:rsidR="005F6C7C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c</w:t>
      </w:r>
      <w:r>
        <w:rPr>
          <w:sz w:val="16"/>
          <w:szCs w:val="16"/>
        </w:rPr>
        <w:t xml:space="preserve"> Sensitivity ranged from 5.9 [1.9–13.</w:t>
      </w:r>
      <w:proofErr w:type="gramStart"/>
      <w:r>
        <w:rPr>
          <w:sz w:val="16"/>
          <w:szCs w:val="16"/>
        </w:rPr>
        <w:t>2]%</w:t>
      </w:r>
      <w:proofErr w:type="gramEnd"/>
      <w:r>
        <w:rPr>
          <w:sz w:val="16"/>
          <w:szCs w:val="16"/>
        </w:rPr>
        <w:t xml:space="preserve"> to 61.2 [50–71.6]%. Specificity ranged from 88.7 [82.1–93.</w:t>
      </w:r>
      <w:proofErr w:type="gramStart"/>
      <w:r>
        <w:rPr>
          <w:sz w:val="16"/>
          <w:szCs w:val="16"/>
        </w:rPr>
        <w:t>5]%</w:t>
      </w:r>
      <w:proofErr w:type="gramEnd"/>
      <w:r>
        <w:rPr>
          <w:sz w:val="16"/>
          <w:szCs w:val="16"/>
        </w:rPr>
        <w:t xml:space="preserve"> to 100 [97.9–100]%. </w:t>
      </w:r>
    </w:p>
    <w:p w:rsidR="005F6C7C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d</w:t>
      </w:r>
      <w:r>
        <w:rPr>
          <w:sz w:val="16"/>
          <w:szCs w:val="16"/>
        </w:rPr>
        <w:t xml:space="preserve"> Serious risk of bias due to confounding and lack of blinding</w:t>
      </w:r>
    </w:p>
    <w:p w:rsidR="005F6C7C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Good</w:t>
      </w:r>
      <w:proofErr w:type="gramEnd"/>
      <w:r>
        <w:rPr>
          <w:sz w:val="16"/>
          <w:szCs w:val="16"/>
        </w:rPr>
        <w:t xml:space="preserve"> outcome assessed at ICU discharge.</w:t>
      </w:r>
    </w:p>
    <w:p w:rsidR="005F6C7C" w:rsidRDefault="00000000">
      <w:pPr>
        <w:spacing w:after="0"/>
        <w:ind w:left="142" w:hanging="142"/>
        <w:rPr>
          <w:sz w:val="16"/>
          <w:szCs w:val="16"/>
        </w:rPr>
      </w:pPr>
      <w:r>
        <w:rPr>
          <w:sz w:val="16"/>
          <w:szCs w:val="16"/>
          <w:vertAlign w:val="superscript"/>
        </w:rPr>
        <w:t>f</w:t>
      </w:r>
      <w:r>
        <w:rPr>
          <w:sz w:val="16"/>
          <w:szCs w:val="16"/>
        </w:rPr>
        <w:t xml:space="preserve"> Sensitivity ranged from 9.2 [5–15.</w:t>
      </w:r>
      <w:proofErr w:type="gramStart"/>
      <w:r>
        <w:rPr>
          <w:sz w:val="16"/>
          <w:szCs w:val="16"/>
        </w:rPr>
        <w:t>1]%</w:t>
      </w:r>
      <w:proofErr w:type="gramEnd"/>
      <w:r>
        <w:rPr>
          <w:sz w:val="16"/>
          <w:szCs w:val="16"/>
        </w:rPr>
        <w:t xml:space="preserve"> to 27.5 [20.3–35.6]%. Specificity ranged from 92.1 [86.5–95.</w:t>
      </w:r>
      <w:proofErr w:type="gramStart"/>
      <w:r>
        <w:rPr>
          <w:sz w:val="16"/>
          <w:szCs w:val="16"/>
        </w:rPr>
        <w:t>8]%</w:t>
      </w:r>
      <w:proofErr w:type="gramEnd"/>
      <w:r>
        <w:rPr>
          <w:sz w:val="16"/>
          <w:szCs w:val="16"/>
        </w:rPr>
        <w:t xml:space="preserve">  to 97.4 [93.4–99.3]%, depending on the threshold. </w:t>
      </w:r>
    </w:p>
    <w:p w:rsidR="005F6C7C" w:rsidRDefault="00000000">
      <w:pPr>
        <w:spacing w:after="0"/>
        <w:ind w:left="142" w:hanging="142"/>
        <w:rPr>
          <w:sz w:val="16"/>
          <w:szCs w:val="16"/>
        </w:rPr>
      </w:pPr>
      <w:proofErr w:type="gramStart"/>
      <w:r>
        <w:rPr>
          <w:sz w:val="16"/>
          <w:szCs w:val="16"/>
          <w:vertAlign w:val="superscript"/>
        </w:rPr>
        <w:t xml:space="preserve">g </w:t>
      </w:r>
      <w:r>
        <w:rPr>
          <w:sz w:val="16"/>
          <w:szCs w:val="16"/>
        </w:rPr>
        <w:t xml:space="preserve"> Moderate</w:t>
      </w:r>
      <w:proofErr w:type="gramEnd"/>
      <w:r>
        <w:rPr>
          <w:sz w:val="16"/>
          <w:szCs w:val="16"/>
        </w:rPr>
        <w:t xml:space="preserve"> risk of bias due to confounding </w:t>
      </w:r>
    </w:p>
    <w:p w:rsidR="005F6C7C" w:rsidRDefault="00000000">
      <w:pPr>
        <w:spacing w:after="0"/>
        <w:ind w:left="142" w:hanging="142"/>
        <w:rPr>
          <w:sz w:val="16"/>
          <w:szCs w:val="16"/>
        </w:rPr>
      </w:pPr>
      <w:proofErr w:type="gramStart"/>
      <w:r>
        <w:rPr>
          <w:sz w:val="16"/>
          <w:szCs w:val="16"/>
          <w:vertAlign w:val="superscript"/>
        </w:rPr>
        <w:t xml:space="preserve">h </w:t>
      </w:r>
      <w:r>
        <w:rPr>
          <w:sz w:val="16"/>
          <w:szCs w:val="16"/>
        </w:rPr>
        <w:t xml:space="preserve"> Sensitivity</w:t>
      </w:r>
      <w:proofErr w:type="gramEnd"/>
      <w:r>
        <w:rPr>
          <w:sz w:val="16"/>
          <w:szCs w:val="16"/>
        </w:rPr>
        <w:t xml:space="preserve"> 39 [33-44]%. Specificity 73 [68-</w:t>
      </w:r>
      <w:proofErr w:type="gramStart"/>
      <w:r>
        <w:rPr>
          <w:sz w:val="16"/>
          <w:szCs w:val="16"/>
        </w:rPr>
        <w:t>78]%</w:t>
      </w:r>
      <w:proofErr w:type="gramEnd"/>
      <w:r>
        <w:rPr>
          <w:sz w:val="16"/>
          <w:szCs w:val="16"/>
        </w:rPr>
        <w:t>.</w:t>
      </w:r>
    </w:p>
    <w:p w:rsidR="005F6C7C" w:rsidRDefault="005F6C7C"/>
    <w:sectPr w:rsidR="005F6C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7C"/>
    <w:rsid w:val="005F6C7C"/>
    <w:rsid w:val="00B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5E930E0-6774-C844-A0B9-0D28A4F8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A07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4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0F"/>
  </w:style>
  <w:style w:type="paragraph" w:styleId="Footer">
    <w:name w:val="footer"/>
    <w:basedOn w:val="Normal"/>
    <w:link w:val="FooterChar"/>
    <w:uiPriority w:val="99"/>
    <w:unhideWhenUsed/>
    <w:rsid w:val="00B4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0F"/>
  </w:style>
  <w:style w:type="paragraph" w:styleId="NormalWeb">
    <w:name w:val="Normal (Web)"/>
    <w:basedOn w:val="Normal"/>
    <w:uiPriority w:val="99"/>
    <w:semiHidden/>
    <w:unhideWhenUsed/>
    <w:rsid w:val="00C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BE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072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3i4ZsyrHjYddiJhjTE/1c5rqtg==">AMUW2mWw/X0iNxXkk4fy5tO/jybL0qR+Im9biAzLWOvJCgUZvEwVRcZ9RDp9vuajWp6BK1cR4TnB/tcThvG5Q3gMEXI0ekzygwTMtgwS+HI9u6mnBTkijNtJs22U06UpzFOIfOk4TZkS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Hirsch</dc:creator>
  <cp:lastModifiedBy>Berg,Katherine  (HMFP - Medicine)</cp:lastModifiedBy>
  <cp:revision>2</cp:revision>
  <dcterms:created xsi:type="dcterms:W3CDTF">2022-12-13T02:19:00Z</dcterms:created>
  <dcterms:modified xsi:type="dcterms:W3CDTF">2022-12-13T02:19:00Z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aa72d7d767fa911d50cddf43e3866d03506e5b710b9db1f1f658fda464e004f1</vt:lpwstr>
  </property>
</Properties>
</file>