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EEA6AF" wp14:paraId="00E21652" wp14:textId="57DCB742">
      <w:pPr>
        <w:pStyle w:val="p1"/>
        <w:spacing w:beforeAutospacing="on" w:afterAutospacing="on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EEA6AF" wp14:paraId="33060E92" wp14:textId="4353FED2">
      <w:pPr>
        <w:pStyle w:val="p1"/>
        <w:spacing w:beforeAutospacing="on" w:afterAutospacing="on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EEA6AF" w:rsidR="3951A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Table 1:</w:t>
      </w:r>
      <w:r w:rsidRPr="71EEA6AF" w:rsidR="3951A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Summary of included publications, </w:t>
      </w:r>
      <w:r w:rsidRPr="71EEA6AF" w:rsidR="3951A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setting</w:t>
      </w:r>
      <w:r w:rsidRPr="71EEA6AF" w:rsidR="3951A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terms used, and definitions provided. 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320"/>
        <w:gridCol w:w="1365"/>
        <w:gridCol w:w="1365"/>
        <w:gridCol w:w="2745"/>
        <w:gridCol w:w="1470"/>
      </w:tblGrid>
      <w:tr w:rsidR="71EEA6AF" w:rsidTr="71EEA6AF" w14:paraId="7807B652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6B6FEE3" w14:textId="5368D9C7">
            <w:pPr>
              <w:pStyle w:val="p1"/>
              <w:spacing w:beforeAutospacing="on" w:afterAutospacing="on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Author (Year)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79109145" w14:textId="623732E2">
            <w:pPr>
              <w:pStyle w:val="p1"/>
              <w:spacing w:beforeAutospacing="on" w:afterAutospacing="on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Population / Setting / publication type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35BE98E3" w14:textId="364F6876">
            <w:pPr>
              <w:pStyle w:val="p1"/>
              <w:spacing w:beforeAutospacing="on" w:afterAutospacing="on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Terms Used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1576EE28" w14:textId="3548A72A">
            <w:pPr>
              <w:pStyle w:val="p1"/>
              <w:spacing w:beforeAutospacing="on" w:afterAutospacing="on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Description / Key Notes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14FC5E60" w14:textId="2CD67665">
            <w:pPr>
              <w:pStyle w:val="p1"/>
              <w:spacing w:beforeAutospacing="on" w:afterAutospacing="on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Definition / Nomenclature Provided</w:t>
            </w:r>
          </w:p>
        </w:tc>
      </w:tr>
      <w:tr w:rsidR="71EEA6AF" w:rsidTr="71EEA6AF" w14:paraId="59FE0930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9E372F2" w14:textId="007CD732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Chamberlain et al. (1992) (2)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18B124B8" w14:textId="6F1C1470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Adults</w:t>
            </w:r>
          </w:p>
          <w:p w:rsidR="71EEA6AF" w:rsidP="71EEA6AF" w:rsidRDefault="71EEA6AF" w14:paraId="11C54367" w14:textId="33208A9A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OHCA </w:t>
            </w:r>
          </w:p>
          <w:p w:rsidR="71EEA6AF" w:rsidP="71EEA6AF" w:rsidRDefault="71EEA6AF" w14:paraId="4CE652E6" w14:textId="644AB152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Utstein publication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8357360" w14:textId="534B99B9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Bystander, Rescue squad member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1BC701F" w14:textId="2195278B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Called for structured reporting of responder tiers but offered no definition of roles. Used terms like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rescue squad member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without clarification. However, highlighted the importance of describing who provides which interventions, suggesting an early recognition of role categorization.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D45E142" w14:textId="02DBA206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Partial</w:t>
            </w:r>
          </w:p>
        </w:tc>
      </w:tr>
      <w:tr w:rsidR="71EEA6AF" w:rsidTr="71EEA6AF" w14:paraId="17F0926C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65380545" w14:textId="30947359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Zaritsky et al. (1995) (23)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0AD193CD" w14:textId="07620AE1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Pediatric</w:t>
            </w:r>
          </w:p>
          <w:p w:rsidR="71EEA6AF" w:rsidP="71EEA6AF" w:rsidRDefault="71EEA6AF" w14:paraId="4F972A2E" w14:textId="3A2316A8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OHCA and IHCA</w:t>
            </w:r>
          </w:p>
          <w:p w:rsidR="71EEA6AF" w:rsidP="71EEA6AF" w:rsidRDefault="71EEA6AF" w14:paraId="3BB41B92" w14:textId="0099AE8A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Utstein publication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93FA04F" w14:textId="7D125CDD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Bystander, Lay responder, Citizen responder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3331EA86" w14:textId="798ECFB0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Provides detailed responder categorization. Defines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as someone not part of an organized response, even if medically trained. Synonymizes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lay responder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citizen responder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. Differentiates out-of-hospital vs. in-hospital contexts. Also provides pediatric-specific role classification, including witness types (e.g., family member, babysitter).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7FC75A17" w14:textId="141126C9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Yes</w:t>
            </w:r>
          </w:p>
        </w:tc>
      </w:tr>
      <w:tr w:rsidR="71EEA6AF" w:rsidTr="71EEA6AF" w14:paraId="7D77D781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0CAD5A22" w14:textId="0DEC7F19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Jacobs et al. (2004) (7)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EF6DB1B" w14:textId="5098A5A4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 specified age group</w:t>
            </w:r>
          </w:p>
          <w:p w:rsidR="71EEA6AF" w:rsidP="71EEA6AF" w:rsidRDefault="71EEA6AF" w14:paraId="05299D64" w14:textId="07B26537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OHCA and IHCA </w:t>
            </w:r>
          </w:p>
          <w:p w:rsidR="71EEA6AF" w:rsidP="71EEA6AF" w:rsidRDefault="71EEA6AF" w14:paraId="363630BF" w14:textId="515FFEF0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Utstein publication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621AB98E" w14:textId="09C4A3E1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DD82510" w14:textId="64CF68DA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Defines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as a person not part of the formal EMS response. Extracted from the action-based term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 CPR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, the role is clearly assigned based on system affiliation, not professional background. Physicians, nurses, or paramedics may be considered bystanders if not officially dispatched.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2ED407D" w14:textId="6FF5AA70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Yes</w:t>
            </w:r>
          </w:p>
        </w:tc>
      </w:tr>
      <w:tr w:rsidR="71EEA6AF" w:rsidTr="71EEA6AF" w14:paraId="1F7C4094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F181DF3" w14:textId="3A05C934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Perkins et al. (2015) (16)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6E556792" w14:textId="1F586C5D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 specified age group</w:t>
            </w:r>
          </w:p>
          <w:p w:rsidR="71EEA6AF" w:rsidP="71EEA6AF" w:rsidRDefault="71EEA6AF" w14:paraId="2B87D4DD" w14:textId="0618FC6B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OHCA</w:t>
            </w:r>
          </w:p>
          <w:p w:rsidR="71EEA6AF" w:rsidP="71EEA6AF" w:rsidRDefault="71EEA6AF" w14:paraId="18BB84BA" w14:textId="522A6108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Utstein publication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6603FBB3" w14:textId="14403AAA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Bystander, EMS-witnessed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5C711C3" w14:textId="6E1C26DF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Clearly distinguishes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from EMS roles, emphasizing that responder classification depends on system integration rather than profession. Supports role-based definitions in Utstein-style reporting.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0599489C" w14:textId="723AEFBD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Yes</w:t>
            </w:r>
          </w:p>
        </w:tc>
      </w:tr>
      <w:tr w:rsidR="71EEA6AF" w:rsidTr="71EEA6AF" w14:paraId="46084838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7B451713" w14:textId="461A511A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Tirkkonen et al. (2017) (20)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1699B8C5" w14:textId="638A2C60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Adults</w:t>
            </w:r>
          </w:p>
          <w:p w:rsidR="71EEA6AF" w:rsidP="71EEA6AF" w:rsidRDefault="71EEA6AF" w14:paraId="3DEFD570" w14:textId="3A4A806F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IHCA</w:t>
            </w:r>
          </w:p>
          <w:p w:rsidR="71EEA6AF" w:rsidP="71EEA6AF" w:rsidRDefault="71EEA6AF" w14:paraId="48BEA2E9" w14:textId="12877393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Review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0CEF4CEC" w14:textId="7C92CA73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Rapid response team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B56A480" w14:textId="0FF2473D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rapid response team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was defined as any external response unit (physician led or not) providing assessment for a deteriorating patient in a hospital. However, this included all deteriorating patients, not only those in cardiac arrest.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118EAD17" w14:textId="50D207C6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Yes</w:t>
            </w:r>
          </w:p>
        </w:tc>
      </w:tr>
      <w:tr w:rsidR="71EEA6AF" w:rsidTr="71EEA6AF" w14:paraId="21FA8EF9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4616F74A" w14:textId="6525821B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Maurer et al. (2019) (8)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CA38996" w14:textId="4ADF3DE9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 specified age group</w:t>
            </w:r>
          </w:p>
          <w:p w:rsidR="71EEA6AF" w:rsidP="71EEA6AF" w:rsidRDefault="71EEA6AF" w14:paraId="6130C22E" w14:textId="31745C41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OHCA</w:t>
            </w:r>
          </w:p>
          <w:p w:rsidR="71EEA6AF" w:rsidP="71EEA6AF" w:rsidRDefault="71EEA6AF" w14:paraId="2923CB13" w14:textId="666E110E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Scenario-based survey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44099B59" w14:textId="42F307A7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Bystander, App-responder, Off-duty nurse, Passerby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78A31E1" w14:textId="56354068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Surveyed EMS professionals on classification of various responder types in fictional CPR scenarios. Explored real-world interpretations of responder categories (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,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passerby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,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off-duty nurse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), revealing inconsistencies in how these terms are applied. While no formal definitions are provided, the study contributes meaningfully to understanding terminology use.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6DC93DC" w14:textId="54E0F20D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Partial</w:t>
            </w:r>
          </w:p>
        </w:tc>
      </w:tr>
      <w:tr w:rsidR="71EEA6AF" w:rsidTr="71EEA6AF" w14:paraId="6D982DE5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8504483" w14:textId="4C065BC9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Nolan et al. (2019) (11)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45128C94" w14:textId="16779810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 specified age group</w:t>
            </w:r>
          </w:p>
          <w:p w:rsidR="71EEA6AF" w:rsidP="71EEA6AF" w:rsidRDefault="71EEA6AF" w14:paraId="13520404" w14:textId="03D8E547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IHCA</w:t>
            </w:r>
          </w:p>
          <w:p w:rsidR="71EEA6AF" w:rsidP="71EEA6AF" w:rsidRDefault="71EEA6AF" w14:paraId="47B8DC7E" w14:textId="1E583141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Utstein publication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4D373A55" w14:textId="55E26448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Resuscitation team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BFD28B3" w14:textId="43FFCA3E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Resuscitation team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excludes a local response by the emergency department, operating room, or ICU teams.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370C011" w14:textId="6660D82E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Partial</w:t>
            </w:r>
          </w:p>
        </w:tc>
      </w:tr>
      <w:tr w:rsidR="71EEA6AF" w:rsidTr="71EEA6AF" w14:paraId="5E2FBF25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79219163" w14:textId="078A9708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Graesner et al. (2024) (5)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64BD04EE" w14:textId="648FDB74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Pediatric and adults</w:t>
            </w:r>
          </w:p>
          <w:p w:rsidR="71EEA6AF" w:rsidP="71EEA6AF" w:rsidRDefault="71EEA6AF" w14:paraId="34583659" w14:textId="085209BD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OHCA</w:t>
            </w:r>
          </w:p>
          <w:p w:rsidR="71EEA6AF" w:rsidP="71EEA6AF" w:rsidRDefault="71EEA6AF" w14:paraId="472CE9F1" w14:textId="34E3CEC1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Utstein publication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19D4E0C1" w14:textId="1CB84196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First responder, Volunteer community responder, Dispatched responder, Bystander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735D8096" w14:textId="177B287A">
            <w:pPr>
              <w:pStyle w:val="p1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first responder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was defined as being part of an organisation that has no capacity to transport a patient (e.g., police, fire brigade).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 volunteer community responder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was defined as alerted to the scene but having a choice to accept or decline the call. </w:t>
            </w:r>
          </w:p>
          <w:p w:rsidR="71EEA6AF" w:rsidP="71EEA6AF" w:rsidRDefault="71EEA6AF" w14:paraId="7D1A79FA" w14:textId="4F1ABE3D">
            <w:pPr>
              <w:pStyle w:val="p1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The term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dispatched responder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includes the EMS and first responders (should not be included as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bystanders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). </w:t>
            </w:r>
          </w:p>
          <w:p w:rsidR="71EEA6AF" w:rsidP="71EEA6AF" w:rsidRDefault="71EEA6AF" w14:paraId="1BF93DA0" w14:textId="218CCECC">
            <w:pPr>
              <w:pStyle w:val="p1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bystander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is a person who is on scene or alerted but not dispatched as part of an organised response system (including off-duty health care professionals or volunteers).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2468BFEE" w14:textId="4C0A93A1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Yes</w:t>
            </w:r>
          </w:p>
        </w:tc>
      </w:tr>
      <w:tr w:rsidR="71EEA6AF" w:rsidTr="71EEA6AF" w14:paraId="34036A69">
        <w:trPr>
          <w:trHeight w:val="300"/>
        </w:trPr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394BA3A9" w14:textId="1ADC52A3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Metelmann et al. (2025) (10)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3F61AEEE" w14:textId="7632A3BC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 specified age group</w:t>
            </w:r>
          </w:p>
          <w:p w:rsidR="71EEA6AF" w:rsidP="71EEA6AF" w:rsidRDefault="71EEA6AF" w14:paraId="40105713" w14:textId="66BDAFD9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OHCA</w:t>
            </w:r>
          </w:p>
          <w:p w:rsidR="71EEA6AF" w:rsidP="71EEA6AF" w:rsidRDefault="71EEA6AF" w14:paraId="6854D880" w14:textId="5941E964">
            <w:pPr>
              <w:pStyle w:val="p1"/>
              <w:numPr>
                <w:ilvl w:val="0"/>
                <w:numId w:val="1"/>
              </w:numPr>
              <w:spacing w:beforeAutospacing="on" w:afterAutospacing="on" w:line="360" w:lineRule="auto"/>
              <w:ind w:left="133" w:hanging="13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Delphi consensus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510B4FA6" w14:textId="167A24C8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Community first responder, Volunteer responder, On-duty responder</w:t>
            </w:r>
          </w:p>
        </w:tc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03A2F26A" w14:textId="442742F3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Provides structured nomenclature via Delphi consensus. Distinguishes responders by activation context (work/leisure), and defines preferred terms (e.g.,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on-duty first responder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,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community first responder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). Rejects others (e.g., 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professional first responder</w:t>
            </w: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) for lack of clarity. Represents a formal attempt at nomenclature standardization.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71EEA6AF" w:rsidP="71EEA6AF" w:rsidRDefault="71EEA6AF" w14:paraId="70D68546" w14:textId="3E4B8DF9">
            <w:pPr>
              <w:pStyle w:val="p1"/>
              <w:spacing w:beforeAutospacing="on" w:afterAutospacing="on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1EEA6AF" w:rsidR="71EEA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Yes</w:t>
            </w:r>
          </w:p>
        </w:tc>
      </w:tr>
    </w:tbl>
    <w:p xmlns:wp14="http://schemas.microsoft.com/office/word/2010/wordml" w:rsidP="71EEA6AF" wp14:paraId="52721062" wp14:textId="1D0ACE4E">
      <w:pPr>
        <w:pStyle w:val="p1"/>
        <w:spacing w:beforeAutospacing="on" w:afterAutospacing="on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524B617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4f3a2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FA0AED"/>
    <w:rsid w:val="3951A5F1"/>
    <w:rsid w:val="44FA0AED"/>
    <w:rsid w:val="71EEA6AF"/>
    <w:rsid w:val="76C89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0F3D"/>
  <w15:chartTrackingRefBased/>
  <w15:docId w15:val="{A1EB5F81-EF2B-4548-8796-8AC45F6481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1" w:customStyle="true">
    <w:uiPriority w:val="1"/>
    <w:name w:val="p1"/>
    <w:basedOn w:val="Normal"/>
    <w:rsid w:val="71EEA6AF"/>
    <w:rPr>
      <w:rFonts w:ascii="Times New Roman" w:hAnsi="Times New Roman" w:eastAsia="Times New Roman" w:cs="Times New Roman"/>
      <w:sz w:val="24"/>
      <w:szCs w:val="24"/>
      <w:lang w:val="de-AT" w:eastAsia="de-DE"/>
    </w:rPr>
    <w:pPr>
      <w:spacing w:beforeAutospacing="on" w:afterAutospacing="o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1692eb17c644a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2026-02-17T20:54:01.6164535Z</dcterms:created>
  <dcterms:modified xsi:type="dcterms:W3CDTF">2026-02-17T20:55:22.4422878Z</dcterms:modified>
  <dc:creator>Jaylen Wright</dc:creator>
  <lastModifiedBy>Jaylen Wright</lastModifiedBy>
</coreProperties>
</file>