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70F5" w14:textId="44CAA3F4" w:rsidR="00D95826" w:rsidRDefault="00D95826"/>
    <w:p w14:paraId="654652E4" w14:textId="77777777" w:rsidR="003E03AE" w:rsidRPr="00480BA5" w:rsidRDefault="003E03AE" w:rsidP="003E03AE">
      <w:pPr>
        <w:rPr>
          <w:rFonts w:asciiTheme="majorHAnsi" w:hAnsiTheme="majorHAnsi" w:cstheme="majorHAnsi"/>
          <w:b/>
          <w:bCs/>
          <w:lang w:eastAsia="en-CA"/>
        </w:rPr>
      </w:pPr>
      <w:r>
        <w:rPr>
          <w:rFonts w:asciiTheme="majorHAnsi" w:hAnsiTheme="majorHAnsi" w:cstheme="majorHAnsi"/>
          <w:b/>
          <w:bCs/>
          <w:lang w:eastAsia="en-CA"/>
        </w:rPr>
        <w:t xml:space="preserve">Table 1. </w:t>
      </w:r>
      <w:r w:rsidRPr="00480BA5">
        <w:rPr>
          <w:rFonts w:asciiTheme="majorHAnsi" w:hAnsiTheme="majorHAnsi" w:cstheme="majorHAnsi"/>
          <w:b/>
          <w:bCs/>
          <w:lang w:eastAsia="en-CA"/>
        </w:rPr>
        <w:t>Observational Studies:</w:t>
      </w:r>
    </w:p>
    <w:p w14:paraId="13B0DA2C" w14:textId="77777777" w:rsidR="003E03AE" w:rsidRPr="005450D6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  <w:r w:rsidRPr="005450D6">
        <w:rPr>
          <w:rFonts w:asciiTheme="majorHAnsi" w:hAnsiTheme="majorHAnsi" w:cstheme="majorHAnsi"/>
          <w:lang w:eastAsia="en-CA"/>
        </w:rPr>
        <w:t>CPRIC = CPR induced consciousness, NDE = near death experience</w:t>
      </w:r>
    </w:p>
    <w:p w14:paraId="5286E237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b/>
          <w:bCs/>
          <w:lang w:eastAsia="en-CA"/>
        </w:rPr>
      </w:pPr>
      <w:r w:rsidRPr="00480BA5">
        <w:rPr>
          <w:rFonts w:asciiTheme="majorHAnsi" w:hAnsiTheme="majorHAnsi" w:cstheme="majorHAnsi"/>
          <w:b/>
          <w:bCs/>
          <w:lang w:eastAsia="en-CA"/>
        </w:rPr>
        <w:t>REFERENCES</w:t>
      </w:r>
    </w:p>
    <w:p w14:paraId="1BA14BF9" w14:textId="77777777" w:rsidR="003E03AE" w:rsidRPr="00480BA5" w:rsidRDefault="003E03AE" w:rsidP="003E03AE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Gamper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 xml:space="preserve"> G, </w:t>
      </w: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Willeit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 xml:space="preserve"> M, </w:t>
      </w: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Sterz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 xml:space="preserve"> F, </w:t>
      </w: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Herkner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 xml:space="preserve"> H, </w:t>
      </w: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Zoufaly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 xml:space="preserve"> A, </w:t>
      </w: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Hornik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 xml:space="preserve"> K, Havel C, </w:t>
      </w: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Laggner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 xml:space="preserve"> AN. Life after death: posttraumatic stress disorder in survivors of cardiac arrest--prevalence, associated factors, and the influence of sedation and analgesia. Crit Care Med. 2004 Feb;32(2):378-83. </w:t>
      </w:r>
      <w:proofErr w:type="spell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: 10.1097/01.CCM.</w:t>
      </w:r>
      <w:proofErr w:type="gramStart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0000108880.97967.C</w:t>
      </w:r>
      <w:proofErr w:type="gramEnd"/>
      <w:r w:rsidRPr="00480BA5">
        <w:rPr>
          <w:rFonts w:asciiTheme="majorHAnsi" w:eastAsia="Calibri" w:hAnsiTheme="majorHAnsi" w:cstheme="majorHAnsi"/>
          <w:color w:val="212121"/>
          <w:sz w:val="20"/>
          <w:szCs w:val="20"/>
          <w:shd w:val="clear" w:color="auto" w:fill="FFFFFF"/>
          <w:lang w:val="en-GB"/>
        </w:rPr>
        <w:t>0. PMID: 14758151.</w:t>
      </w:r>
    </w:p>
    <w:p w14:paraId="15EC49D4" w14:textId="77777777" w:rsidR="003E03AE" w:rsidRPr="00480BA5" w:rsidRDefault="003E03AE" w:rsidP="003E03AE">
      <w:pPr>
        <w:spacing w:after="160" w:line="259" w:lineRule="auto"/>
        <w:ind w:left="720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</w:p>
    <w:p w14:paraId="24D9109A" w14:textId="77777777" w:rsidR="003E03AE" w:rsidRPr="00480BA5" w:rsidRDefault="003E03AE" w:rsidP="003E03AE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Parnia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S, Spearpoint K, de Vos G, Fenwick P, Goldberg D, Yang J, Zhu J, Baker K,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Killingback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H, McLean P, Wood M,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Zafari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AM,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Dickert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N,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Beisteiner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R,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Sterz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F, Berger M,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Warlow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C, Bullock S, Lovett S,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McPara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RM, Marti-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Navarette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S, Cushing P, Wills P, Harris K, Sutton J, Walmsley A, Deakin CD, Little P, Farber M, Greyson B, Schoenfeld ER. AWARE-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AWAreness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during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REsuscitation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-a prospective study. Resuscitation. 2014 Dec;85(12):1799-805.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doi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: 10.1016/j.resuscitation.2014.09.004.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Epub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2014 Oct 7. PMID: 25301715.</w:t>
      </w:r>
    </w:p>
    <w:p w14:paraId="365E9B78" w14:textId="77777777" w:rsidR="003E03AE" w:rsidRPr="00480BA5" w:rsidRDefault="003E03AE" w:rsidP="003E03AE">
      <w:pPr>
        <w:spacing w:after="160" w:line="259" w:lineRule="auto"/>
        <w:ind w:left="720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</w:p>
    <w:p w14:paraId="667F14EC" w14:textId="77777777" w:rsidR="003E03AE" w:rsidRPr="00480BA5" w:rsidRDefault="003E03AE" w:rsidP="003E03AE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Olaussen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A, Shepherd M, Nehme Z, Smith K, Jennings PA, Bernard S, Mitra B. CPR-induced consciousness: A cross-sectional study of healthcare practitioners' experience.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Australas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Emerg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Nurs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J. 2016 Nov;19(4):186-190.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doi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: 10.1016/j.aenj.2016.07.002.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Epub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2016 Jul 29. PMID: 27478148.</w:t>
      </w:r>
    </w:p>
    <w:p w14:paraId="345282C4" w14:textId="77777777" w:rsidR="003E03AE" w:rsidRPr="00480BA5" w:rsidRDefault="003E03AE" w:rsidP="003E03AE">
      <w:pPr>
        <w:spacing w:after="160" w:line="259" w:lineRule="auto"/>
        <w:ind w:left="720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</w:p>
    <w:p w14:paraId="5C6F7BA8" w14:textId="77777777" w:rsidR="003E03AE" w:rsidRPr="00480BA5" w:rsidRDefault="003E03AE" w:rsidP="003E03AE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Olaussen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A, Nehme Z, Shepherd M, Jennings PA, Bernard S, Mitra B, Smith K. Consciousness induced during cardiopulmonary resuscitation: An observational study. Resuscitation. 2017 </w:t>
      </w:r>
      <w:proofErr w:type="gram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Apr;113:44</w:t>
      </w:r>
      <w:proofErr w:type="gram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-50.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doi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: 10.1016/j.resuscitation.2017.01.018.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Epub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2017 Feb 1. PMID: 28161214.</w:t>
      </w:r>
    </w:p>
    <w:p w14:paraId="3BE7CFCC" w14:textId="77777777" w:rsidR="003E03AE" w:rsidRPr="00480BA5" w:rsidRDefault="003E03AE" w:rsidP="003E03AE">
      <w:pPr>
        <w:spacing w:after="160" w:line="259" w:lineRule="auto"/>
        <w:ind w:left="720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</w:p>
    <w:p w14:paraId="059EF82D" w14:textId="47A391CA" w:rsidR="003E03AE" w:rsidRPr="003E03AE" w:rsidRDefault="003E03AE" w:rsidP="003E03AE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="Calibri" w:hAnsiTheme="majorHAnsi" w:cstheme="majorHAnsi"/>
          <w:sz w:val="18"/>
          <w:szCs w:val="18"/>
          <w:lang w:val="en-GB"/>
        </w:rPr>
      </w:pPr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 xml:space="preserve">Doan TN, Adams L, Schultz BV, Bunting D, Parker L, Rashford S, </w:t>
      </w:r>
      <w:proofErr w:type="spellStart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>Bosley</w:t>
      </w:r>
      <w:proofErr w:type="spellEnd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 xml:space="preserve"> E. Insights into the epidemiology of cardiopulmonary resuscitation-induced consciousness in out-of-hospital cardiac arrest. </w:t>
      </w:r>
      <w:proofErr w:type="spellStart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>Emerg</w:t>
      </w:r>
      <w:proofErr w:type="spellEnd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 xml:space="preserve"> Med </w:t>
      </w:r>
      <w:proofErr w:type="spellStart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>Australas</w:t>
      </w:r>
      <w:proofErr w:type="spellEnd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 xml:space="preserve">. 2020 Oct;32(5):769-776. </w:t>
      </w:r>
      <w:proofErr w:type="spellStart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>doi</w:t>
      </w:r>
      <w:proofErr w:type="spellEnd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 xml:space="preserve">: 10.1111/1742-6723.13505. </w:t>
      </w:r>
      <w:proofErr w:type="spellStart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>Epub</w:t>
      </w:r>
      <w:proofErr w:type="spellEnd"/>
      <w:r w:rsidRPr="00480BA5">
        <w:rPr>
          <w:rFonts w:asciiTheme="majorHAnsi" w:eastAsia="Calibri" w:hAnsiTheme="majorHAnsi" w:cstheme="majorHAnsi"/>
          <w:sz w:val="18"/>
          <w:szCs w:val="18"/>
          <w:lang w:val="en-GB"/>
        </w:rPr>
        <w:t xml:space="preserve"> 2020 Mar 26. PMID: 32220008.</w:t>
      </w:r>
    </w:p>
    <w:tbl>
      <w:tblPr>
        <w:tblpPr w:leftFromText="180" w:rightFromText="180" w:vertAnchor="text" w:horzAnchor="page" w:tblpX="1981" w:tblpY="700"/>
        <w:tblW w:w="13745" w:type="dxa"/>
        <w:tblLook w:val="04A0" w:firstRow="1" w:lastRow="0" w:firstColumn="1" w:lastColumn="0" w:noHBand="0" w:noVBand="1"/>
      </w:tblPr>
      <w:tblGrid>
        <w:gridCol w:w="1788"/>
        <w:gridCol w:w="2755"/>
        <w:gridCol w:w="2440"/>
        <w:gridCol w:w="4546"/>
        <w:gridCol w:w="2216"/>
      </w:tblGrid>
      <w:tr w:rsidR="003E03AE" w:rsidRPr="00480BA5" w14:paraId="14B93B07" w14:textId="77777777" w:rsidTr="009E64BE">
        <w:trPr>
          <w:trHeight w:val="39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hideMark/>
          </w:tcPr>
          <w:p w14:paraId="3EA3946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Reference 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2480831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Evidence of consciousness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131DD1F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CPR type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20FCF150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  <w:t>Sedation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hideMark/>
          </w:tcPr>
          <w:p w14:paraId="22C2581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Survival </w:t>
            </w:r>
          </w:p>
        </w:tc>
      </w:tr>
      <w:tr w:rsidR="003E03AE" w:rsidRPr="00480BA5" w14:paraId="4F89EE81" w14:textId="77777777" w:rsidTr="009E64BE">
        <w:trPr>
          <w:trHeight w:val="31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11A2D86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Bernier 19628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271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E2FD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CAA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None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EE16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Survival at 1 year </w:t>
            </w:r>
          </w:p>
        </w:tc>
      </w:tr>
      <w:tr w:rsidR="003E03AE" w:rsidRPr="00480BA5" w14:paraId="04FB53CF" w14:textId="77777777" w:rsidTr="009E64BE">
        <w:trPr>
          <w:trHeight w:val="37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98FACA4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Miller 19629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F115B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99A9C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Internal heart massage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489B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Pre-med induction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F75EC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6C26A926" w14:textId="77777777" w:rsidTr="009E64BE">
        <w:trPr>
          <w:trHeight w:val="42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CACE11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Lewinter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1988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03FE9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B06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Mechanical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225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IV morphine and diazepam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6DD23A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57937789" w14:textId="77777777" w:rsidTr="009E64BE">
        <w:trPr>
          <w:trHeight w:val="4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340BD8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Quinn 1993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72CD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357A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Mechanical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6436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Midazolam and succinylcholine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82BC2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1A1C4A62" w14:textId="77777777" w:rsidTr="009E64BE">
        <w:trPr>
          <w:trHeight w:val="44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5D963D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Mcdonald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2005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8956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Both rescuer reported and recall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86A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8969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DC6BB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47BF09EE" w14:textId="77777777" w:rsidTr="009E64BE">
        <w:trPr>
          <w:trHeight w:val="43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A5E465A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Yu 2006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BFBE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195B9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9887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440D4D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0488B1A4" w14:textId="77777777" w:rsidTr="009E64BE">
        <w:trPr>
          <w:trHeight w:val="41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6ECC9D4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Bihari 2008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7FBD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589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E838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Physical restraint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28852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75A8CBB3" w14:textId="77777777" w:rsidTr="009E64BE">
        <w:trPr>
          <w:trHeight w:val="43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B1381DA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Tobin 2009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2E30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D9E70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EE99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None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5617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40BB01E3" w14:textId="77777777" w:rsidTr="009E64BE">
        <w:trPr>
          <w:trHeight w:val="46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79B7814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Frederic 2011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806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501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Mechanical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ABC6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Sedation used in one, not documented in the other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5F729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7A1AEA15" w14:textId="77777777" w:rsidTr="009E64BE">
        <w:trPr>
          <w:trHeight w:val="4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14439CE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Fauber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2011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7399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6D4E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Mechanical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101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1447FF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73E31CD9" w14:textId="77777777" w:rsidTr="009E64BE">
        <w:trPr>
          <w:trHeight w:val="42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5932FC5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Ulrichs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2014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9A6B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Patient recall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CC7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EA0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A6DCC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100B8CD3" w14:textId="77777777" w:rsidTr="009E64BE">
        <w:trPr>
          <w:trHeight w:val="55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AD6A6B1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Greb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and </w:t>
            </w: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Heightman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2014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C9DD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FCFA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C68F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4173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5E765459" w14:textId="77777777" w:rsidTr="009E64BE">
        <w:trPr>
          <w:trHeight w:val="61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262716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Gwinnutt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2015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45D2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Patient recall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1401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Precordial thump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3772F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A029F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Survival at a couple of days post arrest </w:t>
            </w:r>
          </w:p>
        </w:tc>
      </w:tr>
      <w:tr w:rsidR="003E03AE" w:rsidRPr="00480BA5" w14:paraId="1BB925B4" w14:textId="77777777" w:rsidTr="009E64BE">
        <w:trPr>
          <w:trHeight w:val="40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C8ECAF2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Hoppenfeld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2015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A65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Both rescuer reported and recall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3E5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1DD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5FAE9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Both survived post arrest phase </w:t>
            </w:r>
          </w:p>
        </w:tc>
      </w:tr>
      <w:tr w:rsidR="003E03AE" w:rsidRPr="00480BA5" w14:paraId="77E9F4FF" w14:textId="77777777" w:rsidTr="009E64BE">
        <w:trPr>
          <w:trHeight w:val="38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E83E3D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Oksar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2016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86773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96F3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989C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None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07523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Extubated day 1 </w:t>
            </w:r>
          </w:p>
        </w:tc>
      </w:tr>
      <w:tr w:rsidR="003E03AE" w:rsidRPr="00480BA5" w14:paraId="35408C09" w14:textId="77777777" w:rsidTr="009E64BE">
        <w:trPr>
          <w:trHeight w:val="4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68E5DA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lastRenderedPageBreak/>
              <w:t>Pound 2016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6C8EC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A85A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5B62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Midazolam 2mg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FC4DF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57521D13" w14:textId="77777777" w:rsidTr="009E64BE">
        <w:trPr>
          <w:trHeight w:val="41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848F3C3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Rice 2016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460C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Both rescuer reported and recall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1BC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0D2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Ketamine 2mg/kg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AD6DF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4EC72598" w14:textId="77777777" w:rsidTr="009E64BE">
        <w:trPr>
          <w:trHeight w:val="8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432499B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Grandi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2017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E81C6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40D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5 manual, 1 mechanical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CBD3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Mix of physical restraint, fentanyl, propofol and rocuronium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C2A1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2 died, 4 survived to discharge </w:t>
            </w:r>
          </w:p>
        </w:tc>
      </w:tr>
      <w:tr w:rsidR="003E03AE" w:rsidRPr="00480BA5" w14:paraId="0BAAB383" w14:textId="77777777" w:rsidTr="009E64BE">
        <w:trPr>
          <w:trHeight w:val="55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8FA1A60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Gray 2018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ACC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Both rescuer reported and recall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B784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F146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4-point restraint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E77E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Survival to 3 months</w:t>
            </w:r>
          </w:p>
        </w:tc>
      </w:tr>
      <w:tr w:rsidR="003E03AE" w:rsidRPr="00480BA5" w14:paraId="22E55264" w14:textId="77777777" w:rsidTr="009E64BE">
        <w:trPr>
          <w:trHeight w:val="56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B54CDB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Wacht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2018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4419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6B6A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Manual then mechanical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B6ED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Considered, not used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A477D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3CA729D9" w14:textId="77777777" w:rsidTr="009E64BE">
        <w:trPr>
          <w:trHeight w:val="4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968F3C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Pinto 2019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C08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925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26B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None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A31D47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182F5992" w14:textId="77777777" w:rsidTr="009E64BE">
        <w:trPr>
          <w:trHeight w:val="53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FD49D0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Sukumar 2019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A48D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Both rescuer reported and recall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95F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9E96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None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57BE61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  <w:tr w:rsidR="003E03AE" w:rsidRPr="00480BA5" w14:paraId="04503587" w14:textId="77777777" w:rsidTr="009E64BE">
        <w:trPr>
          <w:trHeight w:val="60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8BF0B5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Ashgar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 2020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3235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0F2B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BE76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None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E2868A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Died </w:t>
            </w:r>
          </w:p>
        </w:tc>
      </w:tr>
      <w:tr w:rsidR="003E03AE" w:rsidRPr="00480BA5" w14:paraId="33EFF06B" w14:textId="77777777" w:rsidTr="009E64BE">
        <w:trPr>
          <w:trHeight w:val="52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2223E8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Chin 2020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C84708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Rescuer reported 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59F040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>Manual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6281EB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not documented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EF6D3" w14:textId="77777777" w:rsidR="003E03AE" w:rsidRPr="00480BA5" w:rsidRDefault="003E03AE" w:rsidP="009E64B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 w:eastAsia="en-GB"/>
              </w:rPr>
              <w:t xml:space="preserve">survived to discharge </w:t>
            </w:r>
          </w:p>
        </w:tc>
      </w:tr>
    </w:tbl>
    <w:p w14:paraId="16E704C7" w14:textId="77777777" w:rsidR="003E03AE" w:rsidRPr="005450D6" w:rsidRDefault="003E03AE" w:rsidP="003E03AE">
      <w:pPr>
        <w:spacing w:line="360" w:lineRule="auto"/>
        <w:rPr>
          <w:rFonts w:asciiTheme="majorHAnsi" w:hAnsiTheme="majorHAnsi" w:cstheme="majorHAnsi"/>
          <w:b/>
          <w:bCs/>
          <w:lang w:eastAsia="en-CA"/>
        </w:rPr>
      </w:pPr>
      <w:r>
        <w:rPr>
          <w:rFonts w:asciiTheme="majorHAnsi" w:hAnsiTheme="majorHAnsi" w:cstheme="majorHAnsi"/>
          <w:b/>
          <w:bCs/>
          <w:lang w:eastAsia="en-CA"/>
        </w:rPr>
        <w:t xml:space="preserve">Table 2. </w:t>
      </w:r>
      <w:r w:rsidRPr="005450D6">
        <w:rPr>
          <w:rFonts w:asciiTheme="majorHAnsi" w:hAnsiTheme="majorHAnsi" w:cstheme="majorHAnsi"/>
          <w:b/>
          <w:bCs/>
          <w:lang w:eastAsia="en-CA"/>
        </w:rPr>
        <w:t xml:space="preserve">Case Studies: </w:t>
      </w:r>
    </w:p>
    <w:p w14:paraId="37AEF9D8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</w:p>
    <w:p w14:paraId="4EB3AC1C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</w:p>
    <w:p w14:paraId="5DDE8370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</w:p>
    <w:p w14:paraId="3C6554A7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</w:p>
    <w:p w14:paraId="166D52E7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</w:p>
    <w:p w14:paraId="7B121F49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</w:p>
    <w:p w14:paraId="01473CA4" w14:textId="77777777" w:rsidR="003E03AE" w:rsidRPr="00480BA5" w:rsidRDefault="003E03AE" w:rsidP="003E03AE">
      <w:pPr>
        <w:spacing w:line="360" w:lineRule="auto"/>
        <w:rPr>
          <w:rFonts w:asciiTheme="majorHAnsi" w:hAnsiTheme="majorHAnsi" w:cstheme="majorHAnsi"/>
          <w:lang w:eastAsia="en-CA"/>
        </w:rPr>
      </w:pPr>
    </w:p>
    <w:p w14:paraId="24EE22A4" w14:textId="77777777" w:rsidR="003E03AE" w:rsidRPr="00480BA5" w:rsidRDefault="003E03AE" w:rsidP="003E03A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AU"/>
        </w:rPr>
      </w:pPr>
    </w:p>
    <w:p w14:paraId="5EB3B6DC" w14:textId="77777777" w:rsidR="003E03AE" w:rsidRPr="00480BA5" w:rsidRDefault="003E03AE" w:rsidP="003E03A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AU"/>
        </w:rPr>
      </w:pPr>
    </w:p>
    <w:p w14:paraId="2F7AEDA0" w14:textId="77777777" w:rsidR="003E03AE" w:rsidRPr="00480BA5" w:rsidRDefault="003E03AE" w:rsidP="003E03A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AU"/>
        </w:rPr>
      </w:pPr>
    </w:p>
    <w:p w14:paraId="19FAF13D" w14:textId="77777777" w:rsidR="003E03AE" w:rsidRPr="00480BA5" w:rsidRDefault="003E03AE" w:rsidP="003E03A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AU"/>
        </w:rPr>
      </w:pPr>
    </w:p>
    <w:p w14:paraId="4B056A08" w14:textId="77777777" w:rsidR="003E03AE" w:rsidRPr="00480BA5" w:rsidRDefault="003E03AE" w:rsidP="003E03A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AU"/>
        </w:rPr>
      </w:pPr>
    </w:p>
    <w:p w14:paraId="06DA8E22" w14:textId="77777777" w:rsidR="003E03AE" w:rsidRPr="00480BA5" w:rsidRDefault="003E03AE" w:rsidP="003E03A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AU"/>
        </w:rPr>
      </w:pPr>
      <w:r w:rsidRPr="00480BA5">
        <w:rPr>
          <w:rStyle w:val="normaltextrun"/>
          <w:rFonts w:asciiTheme="majorHAnsi" w:hAnsiTheme="majorHAnsi" w:cstheme="majorHAnsi"/>
          <w:sz w:val="22"/>
          <w:szCs w:val="22"/>
          <w:lang w:val="en-AU"/>
        </w:rPr>
        <w:t>REFERENCES</w:t>
      </w:r>
    </w:p>
    <w:p w14:paraId="098B5AF0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BERNIER GM. Maintenance of consciousness during closed-chest massage. JAMA. 1962 Aug 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4;181:446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-7.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10.1001/jama.1962.03050310086018c. PMID: 13868195.</w:t>
      </w:r>
    </w:p>
    <w:p w14:paraId="422C5F96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3B5BD263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MILLER JB, DAVIE RD, DOUGLAS DM. The efficiency of cardiac massage in ventricular fibrillation. Description of an instance of recovery of consciousness without spontaneous </w:t>
      </w:r>
      <w:proofErr w:type="spellStart"/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heart beat</w:t>
      </w:r>
      <w:proofErr w:type="spellEnd"/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. Br J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Anaesth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. 1961 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Jan;33:22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-3.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10.1093/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bja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/33.1.22. PMID: 13770803.</w:t>
      </w:r>
    </w:p>
    <w:p w14:paraId="4CA2F216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222E12D5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Lewinter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JR, Carden DL, Nowak RM, Enriquez E, Martin GB. CPR-dependent consciousness: evidence for cardiac compression causing forward flow. Ann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Emerg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Med. 1989 Oct;18(10):1111-5.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10.1016/s0196-0644(89)80942-4. PMID: 2802288.</w:t>
      </w:r>
    </w:p>
    <w:p w14:paraId="5C952AE0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619AC7BD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Quinn JV, Hebert PC,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Stiell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IG. Need for sedation in a patient undergoing active compression--decompression cardiopulmonary resuscitation.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Acad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Emerg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Med. 1994 Sep-Oct;1(5):463-6, discussion 466-7.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10.1111/j.1553-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2712.1994.tb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02529.x. PMID: 7614304.</w:t>
      </w:r>
    </w:p>
    <w:p w14:paraId="09ED7AE0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768F9559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. McDonald GP. Code blue stories. Awake and aware in the emergency department. Hosp Physician. 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2005;41:12</w:t>
      </w:r>
      <w:proofErr w:type="gramEnd"/>
    </w:p>
    <w:p w14:paraId="7D617D73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2016AA60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Yu HY, Yeh HL, Wang SS, Tsai MK, Chen YS, Ko WJ, Lin FY.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Ultra long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cardiopulmonary resuscitation with intact cerebral performance for an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asystolic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patient with acute myocarditis. Resuscitation. 2007 May;73(2):307-8.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10.1016/j.resuscitation.2006.08.012.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2007 Jan 17. PMID: 17234321.</w:t>
      </w:r>
    </w:p>
    <w:p w14:paraId="2092F99F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417F0CF2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Bihari S,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Rajajee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V. Prolonged retention of awareness during cardiopulmonary resuscitation for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asystolic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cardiac arrest.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Neurocrit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Care. 2008;9(3):382-6.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10.1007/s12028-008-9099-2. PMID: 18483881.</w:t>
      </w:r>
    </w:p>
    <w:p w14:paraId="422084FE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749ADF62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 xml:space="preserve">Tobin JM, Mihm FG. A hemodynamic profile for consciousness during cardiopulmonary resuscitation. </w:t>
      </w:r>
      <w:proofErr w:type="spellStart"/>
      <w:r w:rsidRPr="00480BA5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>Anesth</w:t>
      </w:r>
      <w:proofErr w:type="spellEnd"/>
      <w:r w:rsidRPr="00480BA5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80BA5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>Analg</w:t>
      </w:r>
      <w:proofErr w:type="spellEnd"/>
      <w:r w:rsidRPr="00480BA5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 xml:space="preserve">. 2009 Nov;109(5):1598-9. </w:t>
      </w:r>
      <w:proofErr w:type="spellStart"/>
      <w:r w:rsidRPr="00480BA5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480BA5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>: 10.1213/ANE.0b013e3181b89432. PMID: 19843796.</w:t>
      </w:r>
    </w:p>
    <w:p w14:paraId="7478AE01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54B862DC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Lapostolle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F, Petrovic T,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Alhéritière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A,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Agostinucci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JM, Adnet F. Life signs in "dead" patients. Resuscitation. 2012 Jul;83(7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):e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164.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10.1016/j.resuscitation.2012.01.045.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2012 Mar 23. PMID: 22450657.</w:t>
      </w:r>
    </w:p>
    <w:p w14:paraId="40B56D8F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0B38E669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Fauber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J. New CPR devices save lives, medical college study finds. J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Sentin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2011. </w:t>
      </w:r>
      <w:hyperlink r:id="rId5" w:history="1">
        <w:r w:rsidRPr="00480BA5">
          <w:rPr>
            <w:rStyle w:val="Hyperlink"/>
            <w:rFonts w:asciiTheme="majorHAnsi" w:eastAsia="Times New Roman" w:hAnsiTheme="majorHAnsi" w:cstheme="majorHAnsi"/>
            <w:sz w:val="20"/>
            <w:szCs w:val="20"/>
            <w:lang w:val="en-GB" w:eastAsia="en-GB"/>
          </w:rPr>
          <w:t>http://www.jsonline.com/news/health/114171424.html</w:t>
        </w:r>
      </w:hyperlink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[Accessed 02/01/2021]</w:t>
      </w:r>
    </w:p>
    <w:p w14:paraId="20EC0D5C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1AC93347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Ulrichs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CJ,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Böttiger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BW,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Padosch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SA. Total recall--is it ethical not to sedate people during successful resuscitation? Resuscitation. 2014 Apr;85(4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):e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49.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10.1016/j.resuscitation.2013.12.026.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2014 Jan 8. PMID: 24412762.</w:t>
      </w:r>
    </w:p>
    <w:p w14:paraId="33C0EEC1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0B94324A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Greb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C., NREMT-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P ,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A.J.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Heightman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, MPA, EMT-P Mechanical CPR Helps Save the Day–and the Patient                                                                                    1.29.2014 </w:t>
      </w:r>
      <w:hyperlink r:id="rId6" w:history="1">
        <w:r w:rsidRPr="00480BA5">
          <w:rPr>
            <w:rStyle w:val="Hyperlink"/>
            <w:rFonts w:asciiTheme="majorHAnsi" w:eastAsia="Times New Roman" w:hAnsiTheme="majorHAnsi" w:cstheme="majorHAnsi"/>
            <w:sz w:val="20"/>
            <w:szCs w:val="20"/>
            <w:lang w:val="en-GB" w:eastAsia="en-GB"/>
          </w:rPr>
          <w:t>https://www.jems.com/patient-care/mechanical-cpr-helps-save-day-and-patien/</w:t>
        </w:r>
      </w:hyperlink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[Accessed 05/01/2021]</w:t>
      </w:r>
    </w:p>
    <w:p w14:paraId="4F5A01FF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4B0B678E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Gwinnutt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C. Awareness during resuscitation. Resuscitation. 2015 Dec;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97:e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17.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10.1016/j.resuscitation.2014.12.036.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2015 Oct 9. PMID: 26455397.</w:t>
      </w:r>
    </w:p>
    <w:p w14:paraId="0F909D36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39EBE64D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Hoppenfeld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MS,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Kotov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A, Ortega R. Ventricular fibrillation and consciousness are not mutually exclusive. Resuscitation. 2016 Mar;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100:e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1-2.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10.1016/j.resuscitation.2015.11.025.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2015 Dec 18. PMID: 26708449.</w:t>
      </w:r>
    </w:p>
    <w:p w14:paraId="29EEEEF7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4E524F26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Oksar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M,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Turhanoglu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S. Is It Possible to Maintain Consciousness and Spontaneous Ventilation with Chest Compression in the Early Phase of Cardiac Arrest? Case Rep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Anesthesiol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. 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2016;2016:3158015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10.1155/2016/3158015.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2016 Feb 11. PMID: 26981288; PMCID: PMC4766314.</w:t>
      </w:r>
    </w:p>
    <w:p w14:paraId="46B34157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65DE8CF5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Pound J, Verbeek PR,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Cheskes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S. CPR Induced Consciousness During Out-of-Hospital Cardiac Arrest: A Case Report on an Emerging Phenomenon.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Prehosp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Emerg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Care. 2017 Mar-Apr;21(2):252-256.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10.1080/10903127.2016.1229823.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2016 Oct 28. PMID: 27791428.</w:t>
      </w:r>
    </w:p>
    <w:p w14:paraId="25D2717E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1558A420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Rice DT,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Nudell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NG,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Habrat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DA, Smith JE, Ernest EV. CPR induced consciousness: It's time for sedation protocols for this growing population. Resuscitation. 2016 Jun;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103:e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15-e16.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10.1016/j.resuscitation.2016.02.013.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2016 Mar 5. PMID: 26956842.</w:t>
      </w:r>
    </w:p>
    <w:p w14:paraId="049D1FB1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1AD58865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Grandi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T, DE Carlo S,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Carosi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V,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Visentin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A,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Fanton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N,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Baldo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D, Paganini M. IX CASES OF CPR-INDUCED CONSCIOUSNESS IN WITNESSED CARDIAC ARREST Italian Journal of Emergency Medicine 01/2017 </w:t>
      </w:r>
      <w:hyperlink r:id="rId7" w:history="1">
        <w:r w:rsidRPr="00480BA5">
          <w:rPr>
            <w:rStyle w:val="Hyperlink"/>
            <w:rFonts w:asciiTheme="majorHAnsi" w:eastAsia="Times New Roman" w:hAnsiTheme="majorHAnsi" w:cstheme="majorHAnsi"/>
            <w:sz w:val="20"/>
            <w:szCs w:val="20"/>
            <w:lang w:val="en-GB" w:eastAsia="en-GB"/>
          </w:rPr>
          <w:t>https://www.itjem.org/2017/03/01/six-cases-of-cpr-induced-consciousness-in-witnessed-cardiac-arrest/</w:t>
        </w:r>
      </w:hyperlink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[accessed 10/01/2021] </w:t>
      </w:r>
    </w:p>
    <w:p w14:paraId="0CDE3BEC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44AD8D2C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Gray R. Consciousness with cardiopulmonary resuscitation. Can Fam Physician. 2018 Jul;64(7):514-517. PMID: 30002027; PMCID: PMC6042660.</w:t>
      </w:r>
    </w:p>
    <w:p w14:paraId="510DB2EA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1595A45C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Wacht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O, Huri R,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Strugo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R. CASE STUDY: COMBATIVE CARDIAC PATIENT. What do you do when a patient regains consciousness during mechanical CPR? EMS World. 2015 Aug;44(8):29-33. PMID: 26357830.</w:t>
      </w:r>
    </w:p>
    <w:p w14:paraId="28CF1FBC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2D013F9F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Pinto J, Almeida P, Ribeiro F,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Simões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R. Cardiopulmonary Resuscitation Induced Consciousness A Case Report in an Elderly Patient. Eur J Case Rep Intern Med. 2020 Jan 13;7(2):001409.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10.12890/2020_001409. PMID: 32133313; PMCID: PMC7050970.</w:t>
      </w:r>
    </w:p>
    <w:p w14:paraId="23F285D0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2A04483E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Sukumar V. Having a Conscious Patient During Cardiopulmonary Resuscitation: Is It Not Time to Consider Sedation 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Protocol?: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A Case Report. A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A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Pract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. 2019 Oct 1;13(7):250-252.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10.1213/XAA.0000000000001037. PMID: 31265444.</w:t>
      </w:r>
    </w:p>
    <w:p w14:paraId="01543789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16E3416A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Asghar A, Salim B, Tahir S, Islam F, Khan MF. Awareness during Cardiopulmonary Resuscitation. Indian J Crit Care Med. 2020 Feb;24(2):136-137.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: 10.5005/jp-journals-10071-23345. PMID: 32205947; PMCID: PMC7075066.</w:t>
      </w:r>
    </w:p>
    <w:p w14:paraId="27512D4B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7043548C" w14:textId="77777777" w:rsidR="003E03AE" w:rsidRPr="00480BA5" w:rsidRDefault="003E03AE" w:rsidP="003E03AE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Chin KC, Yang SC, Chiang WC. Video of cardiopulmonary resuscitation induced consciousness during ventricular fibrillation. Resuscitation. 2020 </w:t>
      </w:r>
      <w:proofErr w:type="gram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Oct;155:22</w:t>
      </w:r>
      <w:proofErr w:type="gram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-23.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: 10.1016/j.resuscitation.2020.07.006. </w:t>
      </w:r>
      <w:proofErr w:type="spellStart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  <w:t xml:space="preserve"> 2020 Jul 16. PMID: 32682850.</w:t>
      </w:r>
    </w:p>
    <w:p w14:paraId="620F6D31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04DCC972" w14:textId="77777777" w:rsidR="003E03AE" w:rsidRPr="00480BA5" w:rsidRDefault="003E03AE" w:rsidP="003E03AE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eastAsia="en-GB"/>
        </w:rPr>
      </w:pPr>
    </w:p>
    <w:p w14:paraId="21A101BF" w14:textId="77777777" w:rsidR="003E03AE" w:rsidRPr="00EB7871" w:rsidRDefault="003E03AE" w:rsidP="003E03AE">
      <w:pPr>
        <w:spacing w:line="360" w:lineRule="auto"/>
        <w:rPr>
          <w:rStyle w:val="normaltextrun"/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</w:pPr>
      <w:r w:rsidRPr="00EB7871">
        <w:rPr>
          <w:rStyle w:val="normaltextrun"/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 xml:space="preserve">Table 3. Review Studies: </w:t>
      </w:r>
    </w:p>
    <w:p w14:paraId="38CCB9C1" w14:textId="77777777" w:rsidR="003E03AE" w:rsidRPr="00480BA5" w:rsidRDefault="003E03AE" w:rsidP="003E03AE">
      <w:pPr>
        <w:spacing w:line="360" w:lineRule="auto"/>
        <w:rPr>
          <w:rStyle w:val="normaltextrun"/>
          <w:rFonts w:asciiTheme="majorHAnsi" w:eastAsia="Times New Roman" w:hAnsiTheme="majorHAnsi" w:cstheme="majorHAnsi"/>
          <w:color w:val="000000" w:themeColor="text1"/>
          <w:lang w:eastAsia="en-GB"/>
        </w:rPr>
      </w:pPr>
    </w:p>
    <w:tbl>
      <w:tblPr>
        <w:tblW w:w="17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322"/>
        <w:gridCol w:w="1698"/>
        <w:gridCol w:w="1652"/>
        <w:gridCol w:w="2469"/>
        <w:gridCol w:w="1988"/>
        <w:gridCol w:w="4270"/>
        <w:gridCol w:w="1765"/>
      </w:tblGrid>
      <w:tr w:rsidR="003E03AE" w:rsidRPr="00480BA5" w14:paraId="190FDA58" w14:textId="77777777" w:rsidTr="009E64BE">
        <w:trPr>
          <w:trHeight w:val="105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0FEF1E3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lastRenderedPageBreak/>
              <w:t xml:space="preserve">Reference 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F9263F5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t>Design type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E11ADAE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t xml:space="preserve">Question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740D9D4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t xml:space="preserve">Included 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DF19041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t xml:space="preserve">Rescuer reports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737D936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t>CPR type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494F763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t>sedation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1E353BA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b/>
                <w:bCs/>
                <w:color w:val="FFFFFF"/>
                <w:kern w:val="24"/>
                <w:sz w:val="20"/>
                <w:szCs w:val="20"/>
                <w:lang w:val="en-GB" w:eastAsia="en-GB"/>
              </w:rPr>
              <w:t xml:space="preserve">Survival </w:t>
            </w:r>
          </w:p>
        </w:tc>
      </w:tr>
      <w:tr w:rsidR="003E03AE" w:rsidRPr="00480BA5" w14:paraId="5A9355EF" w14:textId="77777777" w:rsidTr="009E64BE">
        <w:trPr>
          <w:trHeight w:val="212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038184C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Olaussen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 2014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308C32C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Systematic review 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234453B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Identify cases of CPR induced consciousness,</w:t>
            </w: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br/>
              <w:t>and management strategies.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A509E87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9 cases of 10 patients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1DEA6CB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Purposeful arm movements, eye opening, localising, verbal, and nonverbal communication, complying with instructions.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5B17610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6 out of the 9 cases mechanical CPR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40B2620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For 3 cases sedation status was not recorded, 1 no sedation, 2 physical restraint / reassurance, 2 used sedation nonspecific, 1 small doses of morphine and diazepam, 1 midazolam and succinylcholine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AC249BC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4 out of 10 survived, 1 patient recalling events. </w:t>
            </w:r>
          </w:p>
        </w:tc>
      </w:tr>
      <w:tr w:rsidR="003E03AE" w:rsidRPr="00480BA5" w14:paraId="2EEDF33A" w14:textId="77777777" w:rsidTr="009E64BE">
        <w:trPr>
          <w:trHeight w:val="3456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154AB35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proofErr w:type="spellStart"/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Lunsguaard</w:t>
            </w:r>
            <w:proofErr w:type="spellEnd"/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 2019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838F3FD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Shortcut review 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BF4DB53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In patients who show signs of awareness</w:t>
            </w: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br/>
              <w:t>during CPR are pain management and/or</w:t>
            </w: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br/>
              <w:t>sedation indicated to improve patients’</w:t>
            </w: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br/>
              <w:t>outcome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B8EAB49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3 case reports (n=8), 1 letter to editor (no. not stated), 1 retrospective Cohort (n=117 patients) 1 Prospective study (no. not stated), 1 systematic review (n=10) 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B4DE8D6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Limb movements, eye opening, finger gestures, localising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6EA2100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NA 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F00CCDF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Out of the 7 articles sedation outcome recorded in 5. 1 used midazolam + morphine a second midazolam only, 1 using ketamine, 1 propofol and fentanyl, 1 a combination of opioids, midazolam, and muscle relaxants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CC078FA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Not Recorded</w:t>
            </w:r>
          </w:p>
        </w:tc>
      </w:tr>
      <w:tr w:rsidR="003E03AE" w:rsidRPr="00480BA5" w14:paraId="0BE722E5" w14:textId="77777777" w:rsidTr="009E64BE">
        <w:trPr>
          <w:trHeight w:val="212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998BAD4" w14:textId="77777777" w:rsidR="003E03AE" w:rsidRPr="00480BA5" w:rsidRDefault="003E03AE" w:rsidP="003E03AE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Pourmand 2019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3445125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Existing literature review 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EE9FBA5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Literature search for unifying themes on CPR induced consciousness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1679E85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1 retrospective study (n=112) and 9 case studies (n=10)</w:t>
            </w:r>
          </w:p>
          <w:p w14:paraId="4F3902EC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Calibri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Total patients 122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931F0D3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Purposeful movements, communicating and eye opening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BF0A75D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45% of retrospective study used mechanical CPR, 3 of the case studies </w:t>
            </w:r>
            <w:proofErr w:type="gramStart"/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>mechanical</w:t>
            </w:r>
            <w:proofErr w:type="gramEnd"/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, 5 manual 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A519D64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Sedation used in 3 out of the 9 case studies and in 49.5% of cases in the retrospective study. Mix of midazolam and ketamine used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80FA984" w14:textId="77777777" w:rsidR="003E03AE" w:rsidRPr="00480BA5" w:rsidRDefault="003E03AE" w:rsidP="009E64BE">
            <w:pPr>
              <w:spacing w:after="160" w:line="256" w:lineRule="auto"/>
              <w:rPr>
                <w:rFonts w:asciiTheme="majorHAnsi" w:eastAsia="Times New Roman" w:hAnsiTheme="majorHAnsi" w:cstheme="majorHAnsi"/>
                <w:sz w:val="36"/>
                <w:szCs w:val="36"/>
                <w:lang w:val="en-GB" w:eastAsia="en-GB"/>
              </w:rPr>
            </w:pPr>
            <w:r w:rsidRPr="00480BA5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  <w:lang w:val="en-GB" w:eastAsia="en-GB"/>
              </w:rPr>
              <w:t xml:space="preserve">3 out of the 10 patients in the case studies reported patient deceased. 3 Case studies reported total recall </w:t>
            </w:r>
          </w:p>
        </w:tc>
      </w:tr>
    </w:tbl>
    <w:p w14:paraId="3D325B12" w14:textId="77777777" w:rsidR="003E03AE" w:rsidRPr="00480BA5" w:rsidRDefault="003E03AE" w:rsidP="003E03AE">
      <w:pPr>
        <w:spacing w:line="360" w:lineRule="auto"/>
        <w:rPr>
          <w:rStyle w:val="normaltextrun"/>
          <w:rFonts w:asciiTheme="majorHAnsi" w:eastAsia="Times New Roman" w:hAnsiTheme="majorHAnsi" w:cstheme="majorHAnsi"/>
          <w:color w:val="000000" w:themeColor="text1"/>
          <w:lang w:eastAsia="en-GB"/>
        </w:rPr>
      </w:pPr>
    </w:p>
    <w:p w14:paraId="4FDC9E00" w14:textId="77777777" w:rsidR="003E03AE" w:rsidRPr="00480BA5" w:rsidRDefault="003E03AE" w:rsidP="003E03AE">
      <w:pPr>
        <w:rPr>
          <w:rFonts w:asciiTheme="majorHAnsi" w:eastAsia="Times New Roman" w:hAnsiTheme="majorHAnsi" w:cstheme="majorHAnsi"/>
          <w:lang w:eastAsia="en-GB"/>
        </w:rPr>
      </w:pPr>
    </w:p>
    <w:p w14:paraId="5DA64562" w14:textId="77777777" w:rsidR="003E03AE" w:rsidRPr="00480BA5" w:rsidRDefault="003E03AE" w:rsidP="003E03AE">
      <w:pPr>
        <w:rPr>
          <w:rStyle w:val="normaltextrun"/>
          <w:rFonts w:asciiTheme="majorHAnsi" w:eastAsia="Times New Roman" w:hAnsiTheme="majorHAnsi" w:cstheme="majorHAnsi"/>
          <w:color w:val="000000" w:themeColor="text1"/>
          <w:lang w:eastAsia="en-GB"/>
        </w:rPr>
      </w:pPr>
    </w:p>
    <w:p w14:paraId="4EC0A335" w14:textId="77777777" w:rsidR="003E03AE" w:rsidRPr="00480BA5" w:rsidRDefault="003E03AE" w:rsidP="003E03AE">
      <w:pPr>
        <w:tabs>
          <w:tab w:val="left" w:pos="1680"/>
        </w:tabs>
        <w:rPr>
          <w:rStyle w:val="normaltextrun"/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480BA5">
        <w:rPr>
          <w:rStyle w:val="normaltextrun"/>
          <w:rFonts w:asciiTheme="majorHAnsi" w:eastAsia="Times New Roman" w:hAnsiTheme="majorHAnsi" w:cstheme="majorHAnsi"/>
          <w:color w:val="000000" w:themeColor="text1"/>
          <w:lang w:eastAsia="en-GB"/>
        </w:rPr>
        <w:t xml:space="preserve">References: </w:t>
      </w:r>
    </w:p>
    <w:p w14:paraId="4F420397" w14:textId="77777777" w:rsidR="003E03AE" w:rsidRPr="00480BA5" w:rsidRDefault="003E03AE" w:rsidP="003E03AE">
      <w:pPr>
        <w:tabs>
          <w:tab w:val="left" w:pos="1680"/>
        </w:tabs>
        <w:rPr>
          <w:rStyle w:val="normaltextrun"/>
          <w:rFonts w:asciiTheme="majorHAnsi" w:eastAsia="Times New Roman" w:hAnsiTheme="majorHAnsi" w:cstheme="majorHAnsi"/>
          <w:color w:val="000000" w:themeColor="text1"/>
          <w:lang w:eastAsia="en-GB"/>
        </w:rPr>
      </w:pPr>
    </w:p>
    <w:p w14:paraId="3290A1CE" w14:textId="77777777" w:rsidR="003E03AE" w:rsidRPr="00480BA5" w:rsidRDefault="003E03AE" w:rsidP="003E03A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eastAsia="Calibri" w:hAnsiTheme="majorHAnsi" w:cstheme="majorHAnsi"/>
          <w:sz w:val="20"/>
          <w:szCs w:val="20"/>
          <w:lang w:val="en-GB"/>
        </w:rPr>
      </w:pP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Olaussen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A, Shepherd M, Nehme Z, Smith K, Bernard S, Mitra B. Return of consciousness during ongoing cardiopulmonary resuscitation: A systematic review. Resuscitation. 2015 </w:t>
      </w:r>
      <w:proofErr w:type="gram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Jan;86:44</w:t>
      </w:r>
      <w:proofErr w:type="gram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-8.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doi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: 10.1016/j.resuscitation.2014.10.017.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Epub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2014 Nov 4. PMID: 25447435.</w:t>
      </w:r>
    </w:p>
    <w:p w14:paraId="719C2F87" w14:textId="77777777" w:rsidR="003E03AE" w:rsidRPr="00480BA5" w:rsidRDefault="003E03AE" w:rsidP="003E03AE">
      <w:pPr>
        <w:pStyle w:val="ListParagraph"/>
        <w:spacing w:after="160" w:line="259" w:lineRule="auto"/>
        <w:ind w:left="360"/>
        <w:jc w:val="both"/>
        <w:rPr>
          <w:rFonts w:asciiTheme="majorHAnsi" w:eastAsia="Calibri" w:hAnsiTheme="majorHAnsi" w:cstheme="majorHAnsi"/>
          <w:sz w:val="20"/>
          <w:szCs w:val="20"/>
          <w:lang w:val="en-GB"/>
        </w:rPr>
      </w:pPr>
    </w:p>
    <w:p w14:paraId="0FD84A21" w14:textId="77777777" w:rsidR="003E03AE" w:rsidRPr="00480BA5" w:rsidRDefault="003E03AE" w:rsidP="003E03AE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0"/>
          <w:szCs w:val="20"/>
          <w:lang w:val="en-GB"/>
        </w:rPr>
      </w:pP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Lundsgaard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RS,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Lundsgaard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KS BET 2: Pain management in patients who show awareness during CPR Emergency Medicine Journal 2019;36:249-250.</w:t>
      </w:r>
    </w:p>
    <w:p w14:paraId="77A07FAB" w14:textId="77777777" w:rsidR="003E03AE" w:rsidRPr="00480BA5" w:rsidRDefault="003E03AE" w:rsidP="003E03AE">
      <w:pPr>
        <w:spacing w:after="160" w:line="259" w:lineRule="auto"/>
        <w:ind w:left="720"/>
        <w:contextualSpacing/>
        <w:rPr>
          <w:rFonts w:asciiTheme="majorHAnsi" w:eastAsia="Calibri" w:hAnsiTheme="majorHAnsi" w:cstheme="majorHAnsi"/>
          <w:sz w:val="20"/>
          <w:szCs w:val="20"/>
          <w:lang w:val="en-GB"/>
        </w:rPr>
      </w:pPr>
    </w:p>
    <w:p w14:paraId="634EBF5A" w14:textId="77777777" w:rsidR="003E03AE" w:rsidRPr="005450D6" w:rsidRDefault="003E03AE" w:rsidP="003E03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  <w:lang w:val="en-GB"/>
        </w:rPr>
      </w:pPr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Pourmand A, Hill B, Yamane D, Kuhl E. Approach to cardiopulmonary resuscitation induced consciousness, an emergency medicine perspective. Am J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Emerg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Med. 2019 Apr;37(4):751-756.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doi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: 10.1016/j.ajem.2019.01.051. </w:t>
      </w:r>
      <w:proofErr w:type="spellStart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>Epub</w:t>
      </w:r>
      <w:proofErr w:type="spellEnd"/>
      <w:r w:rsidRPr="00480BA5">
        <w:rPr>
          <w:rFonts w:asciiTheme="majorHAnsi" w:eastAsia="Calibri" w:hAnsiTheme="majorHAnsi" w:cstheme="majorHAnsi"/>
          <w:sz w:val="20"/>
          <w:szCs w:val="20"/>
          <w:lang w:val="en-GB"/>
        </w:rPr>
        <w:t xml:space="preserve"> 2019 Jan 29. PMID: 30718119.</w:t>
      </w:r>
    </w:p>
    <w:p w14:paraId="11159568" w14:textId="77777777" w:rsidR="003E03AE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en-GB"/>
        </w:rPr>
      </w:pPr>
    </w:p>
    <w:p w14:paraId="7A3F0393" w14:textId="04117E1E" w:rsidR="003E03AE" w:rsidRPr="003E03AE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en-GB"/>
        </w:rPr>
        <w:t xml:space="preserve">Figure 1. </w:t>
      </w:r>
      <w:r w:rsidRPr="00480BA5"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en-GB"/>
        </w:rPr>
        <w:t>Sedation Regimen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en-GB"/>
        </w:rPr>
        <w:t>s</w:t>
      </w:r>
      <w:r w:rsidRPr="00480BA5"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en-GB"/>
        </w:rPr>
        <w:t xml:space="preserve">:  </w:t>
      </w:r>
    </w:p>
    <w:p w14:paraId="5E791D41" w14:textId="77777777" w:rsidR="003E03AE" w:rsidRPr="00480BA5" w:rsidRDefault="003E03AE" w:rsidP="003E03AE">
      <w:pPr>
        <w:numPr>
          <w:ilvl w:val="0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1) Rice Nebraska Protocol</w:t>
      </w:r>
    </w:p>
    <w:p w14:paraId="67643462" w14:textId="77777777" w:rsidR="003E03AE" w:rsidRPr="00480BA5" w:rsidRDefault="003E03AE" w:rsidP="003E03AE">
      <w:pPr>
        <w:numPr>
          <w:ilvl w:val="1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If Signs of consciousness give:</w:t>
      </w:r>
    </w:p>
    <w:p w14:paraId="0A3A716A" w14:textId="77777777" w:rsidR="003E03AE" w:rsidRPr="00480BA5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lastRenderedPageBreak/>
        <w:t>Ketamine bolus IV 0.5-1.0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mg/Kg, IM 2-3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mg/Kg</w:t>
      </w:r>
    </w:p>
    <w:p w14:paraId="7F1DB2DD" w14:textId="77777777" w:rsidR="003E03AE" w:rsidRPr="00480BA5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Consider Midazolam bolus 1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mg IV, 2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mg IM </w:t>
      </w:r>
    </w:p>
    <w:p w14:paraId="5DC141B4" w14:textId="6CA0F19F" w:rsidR="003E03AE" w:rsidRPr="003E03AE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Can repeat ketamine bolus every 5-10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min or infusion 2-7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mcg/Kg/min </w:t>
      </w:r>
    </w:p>
    <w:p w14:paraId="5A027540" w14:textId="77777777" w:rsidR="003E03AE" w:rsidRPr="00480BA5" w:rsidRDefault="003E03AE" w:rsidP="003E03AE">
      <w:pPr>
        <w:numPr>
          <w:ilvl w:val="0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2) Dutch Ambulance service</w:t>
      </w:r>
    </w:p>
    <w:p w14:paraId="2B58F071" w14:textId="77777777" w:rsidR="003E03AE" w:rsidRPr="00480BA5" w:rsidRDefault="003E03AE" w:rsidP="003E03AE">
      <w:pPr>
        <w:numPr>
          <w:ilvl w:val="1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When giving mechanical chest compressions </w:t>
      </w:r>
    </w:p>
    <w:p w14:paraId="0E0CF0E0" w14:textId="77777777" w:rsidR="003E03AE" w:rsidRPr="00480BA5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Fentanyl 2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mcg/Kg or Midazolam 2.5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mg </w:t>
      </w:r>
    </w:p>
    <w:p w14:paraId="21818257" w14:textId="77777777" w:rsidR="003E03AE" w:rsidRPr="00480BA5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00720998" w14:textId="77777777" w:rsidR="003E03AE" w:rsidRPr="00480BA5" w:rsidRDefault="003E03AE" w:rsidP="003E03AE">
      <w:pPr>
        <w:numPr>
          <w:ilvl w:val="0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3) Wellington Free Ambulance service</w:t>
      </w:r>
    </w:p>
    <w:p w14:paraId="31E6B25C" w14:textId="77777777" w:rsidR="003E03AE" w:rsidRPr="00480BA5" w:rsidRDefault="003E03AE" w:rsidP="003E03AE">
      <w:pPr>
        <w:numPr>
          <w:ilvl w:val="1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If movement significant enough to interfere to resuscitation: </w:t>
      </w:r>
    </w:p>
    <w:p w14:paraId="7A55385B" w14:textId="77777777" w:rsidR="003E03AE" w:rsidRPr="00480BA5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Ketamine IV 1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mg/Kg </w:t>
      </w:r>
    </w:p>
    <w:p w14:paraId="325FE499" w14:textId="77777777" w:rsidR="003E03AE" w:rsidRPr="00480BA5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If continuing significant movement rocuronium (if ETT in place) </w:t>
      </w:r>
    </w:p>
    <w:p w14:paraId="23D1823F" w14:textId="77777777" w:rsidR="003E03AE" w:rsidRPr="00480BA5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377E7B5C" w14:textId="77777777" w:rsidR="003E03AE" w:rsidRPr="00480BA5" w:rsidRDefault="003E03AE" w:rsidP="003E03AE">
      <w:pPr>
        <w:numPr>
          <w:ilvl w:val="0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4) Victoria, Australia ambulance protocol</w:t>
      </w:r>
    </w:p>
    <w:p w14:paraId="0A4F5569" w14:textId="77777777" w:rsidR="003E03AE" w:rsidRPr="00480BA5" w:rsidRDefault="003E03AE" w:rsidP="003E03AE">
      <w:pPr>
        <w:numPr>
          <w:ilvl w:val="1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If patient interferes with CPR, has present gag reflex, or appears to be aware: </w:t>
      </w:r>
    </w:p>
    <w:p w14:paraId="208C6095" w14:textId="77777777" w:rsidR="003E03AE" w:rsidRPr="00480BA5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Fentanyl 25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mcg IV, repeat every 3-5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min </w:t>
      </w:r>
    </w:p>
    <w:p w14:paraId="7DBC576C" w14:textId="04114C1C" w:rsidR="003E03AE" w:rsidRPr="003E03AE" w:rsidRDefault="003E03AE" w:rsidP="003E03AE">
      <w:pPr>
        <w:numPr>
          <w:ilvl w:val="2"/>
          <w:numId w:val="3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If critical care trained Ketamine 20mg IV/IO, repeat every 3-5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min </w:t>
      </w:r>
    </w:p>
    <w:p w14:paraId="3D72C1E5" w14:textId="77777777" w:rsidR="003E03AE" w:rsidRPr="00480BA5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6854B2D" w14:textId="77777777" w:rsidR="003E03AE" w:rsidRPr="00480BA5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eastAsia="en-GB"/>
        </w:rPr>
        <w:t>References:</w:t>
      </w:r>
    </w:p>
    <w:p w14:paraId="72A1E725" w14:textId="77777777" w:rsidR="003E03AE" w:rsidRPr="00480BA5" w:rsidRDefault="003E03AE" w:rsidP="003E03AE">
      <w:pPr>
        <w:pStyle w:val="ListParagraph"/>
        <w:numPr>
          <w:ilvl w:val="0"/>
          <w:numId w:val="5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Rice DT, </w:t>
      </w:r>
      <w:proofErr w:type="spellStart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Nudell</w:t>
      </w:r>
      <w:proofErr w:type="spellEnd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NG, </w:t>
      </w:r>
      <w:proofErr w:type="spellStart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Habrat</w:t>
      </w:r>
      <w:proofErr w:type="spellEnd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DA, Smith JE, Ernest EV. CPR induced consciousness: It's time for sedation protocols for this growing population. Resuscitation. 2016 Jun;</w:t>
      </w:r>
      <w:proofErr w:type="gramStart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103:e</w:t>
      </w:r>
      <w:proofErr w:type="gramEnd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15-e16. </w:t>
      </w:r>
      <w:proofErr w:type="spellStart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doi</w:t>
      </w:r>
      <w:proofErr w:type="spellEnd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: 10.1016/j.resuscitation.2016.02.013. </w:t>
      </w:r>
      <w:proofErr w:type="spellStart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Epub</w:t>
      </w:r>
      <w:proofErr w:type="spellEnd"/>
      <w:r w:rsidRPr="00480BA5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2016 Mar 5. PMID: 26956842.</w:t>
      </w:r>
    </w:p>
    <w:p w14:paraId="482D6290" w14:textId="77777777" w:rsidR="003E03AE" w:rsidRPr="00480BA5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102B0C5A" w14:textId="77777777" w:rsidR="003E03AE" w:rsidRPr="00480BA5" w:rsidRDefault="003E03AE" w:rsidP="003E03AE">
      <w:pPr>
        <w:pStyle w:val="ListParagraph"/>
        <w:numPr>
          <w:ilvl w:val="0"/>
          <w:numId w:val="5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proofErr w:type="spellStart"/>
      <w:r w:rsidRPr="00480BA5">
        <w:rPr>
          <w:rFonts w:asciiTheme="majorHAnsi" w:eastAsia="Times New Roman" w:hAnsiTheme="majorHAnsi" w:cstheme="majorHAnsi"/>
          <w:sz w:val="22"/>
          <w:szCs w:val="22"/>
          <w:lang w:eastAsia="en-GB"/>
        </w:rPr>
        <w:t>Landelijk</w:t>
      </w:r>
      <w:proofErr w:type="spellEnd"/>
      <w:r w:rsidRPr="00480BA5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Protocol </w:t>
      </w:r>
      <w:proofErr w:type="spellStart"/>
      <w:r w:rsidRPr="00480BA5">
        <w:rPr>
          <w:rFonts w:asciiTheme="majorHAnsi" w:eastAsia="Times New Roman" w:hAnsiTheme="majorHAnsi" w:cstheme="majorHAnsi"/>
          <w:sz w:val="22"/>
          <w:szCs w:val="22"/>
          <w:lang w:eastAsia="en-GB"/>
        </w:rPr>
        <w:t>Ambulancezorg</w:t>
      </w:r>
      <w:proofErr w:type="spellEnd"/>
      <w:r w:rsidRPr="00480BA5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[Translate – Int’l Veld Dutch National Guidelines]. 2014; 8: 38 [Chapter 5.2].</w:t>
      </w:r>
    </w:p>
    <w:p w14:paraId="5E858A99" w14:textId="77777777" w:rsidR="003E03AE" w:rsidRPr="00480BA5" w:rsidRDefault="003E03AE" w:rsidP="003E03AE">
      <w:pPr>
        <w:tabs>
          <w:tab w:val="left" w:pos="1680"/>
        </w:tabs>
        <w:spacing w:line="360" w:lineRule="auto"/>
        <w:ind w:left="60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4422E85F" w14:textId="77777777" w:rsidR="003E03AE" w:rsidRPr="00480BA5" w:rsidRDefault="003E03AE" w:rsidP="003E03AE">
      <w:pPr>
        <w:pStyle w:val="ListParagraph"/>
        <w:numPr>
          <w:ilvl w:val="0"/>
          <w:numId w:val="5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eastAsia="en-GB"/>
        </w:rPr>
        <w:t>Wellington Free Ambulance. Clinical Procedures and Guidelines; 2019-2022.Available from: https://www.wfa.org.nz/assets/What-we-do/b8a3986cc7/WFA-CPG-Comprehensive-2019-2022.pdf [accessed 15/01/2021]</w:t>
      </w:r>
    </w:p>
    <w:p w14:paraId="0A3967B8" w14:textId="77777777" w:rsidR="003E03AE" w:rsidRPr="00480BA5" w:rsidRDefault="003E03AE" w:rsidP="003E03AE">
      <w:pPr>
        <w:tabs>
          <w:tab w:val="left" w:pos="1680"/>
        </w:tabs>
        <w:spacing w:line="360" w:lineRule="auto"/>
        <w:ind w:left="60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574CC433" w14:textId="77777777" w:rsidR="003E03AE" w:rsidRPr="00480BA5" w:rsidRDefault="003E03AE" w:rsidP="003E03AE">
      <w:pPr>
        <w:pStyle w:val="ListParagraph"/>
        <w:numPr>
          <w:ilvl w:val="0"/>
          <w:numId w:val="5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480BA5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Ambulance Victoria Clinical Practice Guidelines; page 47, Nov 2020. Available from https://www.ambulance.vic.gov.au/wp-content/uploads/2020/11/avcpg_November_2020.pdf [Accessed 17/01/2021] </w:t>
      </w:r>
    </w:p>
    <w:p w14:paraId="370FC7DF" w14:textId="77777777" w:rsidR="003E03AE" w:rsidRPr="00480BA5" w:rsidRDefault="003E03AE" w:rsidP="003E03AE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3738CB3" w14:textId="77777777" w:rsidR="003E03AE" w:rsidRPr="00480BA5" w:rsidRDefault="003E03AE" w:rsidP="003E03AE">
      <w:pPr>
        <w:pStyle w:val="ListParagraph"/>
        <w:numPr>
          <w:ilvl w:val="0"/>
          <w:numId w:val="4"/>
        </w:num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  <w:sectPr w:rsidR="003E03AE" w:rsidRPr="00480BA5" w:rsidSect="00864C27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2D008EAD" w14:textId="77777777" w:rsidR="003E03AE" w:rsidRDefault="003E03AE"/>
    <w:sectPr w:rsidR="003E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D89"/>
    <w:multiLevelType w:val="hybridMultilevel"/>
    <w:tmpl w:val="3B3A9F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EB0"/>
    <w:multiLevelType w:val="hybridMultilevel"/>
    <w:tmpl w:val="51DAAFF6"/>
    <w:lvl w:ilvl="0" w:tplc="2F761F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7E141D"/>
    <w:multiLevelType w:val="hybridMultilevel"/>
    <w:tmpl w:val="99F27E66"/>
    <w:lvl w:ilvl="0" w:tplc="1C765B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30C80"/>
    <w:multiLevelType w:val="hybridMultilevel"/>
    <w:tmpl w:val="8AC89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B42DAD"/>
    <w:multiLevelType w:val="hybridMultilevel"/>
    <w:tmpl w:val="EAC2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AE"/>
    <w:rsid w:val="003E03AE"/>
    <w:rsid w:val="00D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DD2E4"/>
  <w15:chartTrackingRefBased/>
  <w15:docId w15:val="{4D19630D-0C67-7346-A20C-9C77675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AE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3A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E03AE"/>
  </w:style>
  <w:style w:type="paragraph" w:customStyle="1" w:styleId="paragraph">
    <w:name w:val="paragraph"/>
    <w:basedOn w:val="Normal"/>
    <w:rsid w:val="003E03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jem.org/2017/03/01/six-cases-of-cpr-induced-consciousness-in-witnessed-cardiac-ar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ms.com/patient-care/mechanical-cpr-helps-save-day-and-patien/" TargetMode="External"/><Relationship Id="rId5" Type="http://schemas.openxmlformats.org/officeDocument/2006/relationships/hyperlink" Target="http://www.jsonline.com/news/health/1141714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2021-02-22T03:15:00Z</dcterms:created>
  <dcterms:modified xsi:type="dcterms:W3CDTF">2021-02-22T03:19:00Z</dcterms:modified>
</cp:coreProperties>
</file>